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734" w:rsidRDefault="007A4734" w:rsidP="007A4734">
      <w:pPr>
        <w:pStyle w:val="3GPPHeader"/>
        <w:rPr>
          <w:highlight w:val="yellow"/>
        </w:rPr>
      </w:pPr>
      <w:bookmarkStart w:id="0" w:name="_Ref473811712"/>
      <w:bookmarkStart w:id="1" w:name="_GoBack"/>
      <w:bookmarkEnd w:id="1"/>
      <w:r>
        <w:t>3GPP TSG RAN WG1 Meeting #89</w:t>
      </w:r>
      <w:r>
        <w:tab/>
        <w:t>R1-</w:t>
      </w:r>
      <w:r w:rsidR="002B76D1" w:rsidRPr="002B76D1">
        <w:t>1709153</w:t>
      </w:r>
    </w:p>
    <w:p w:rsidR="007A4734" w:rsidRDefault="007A4734" w:rsidP="007A4734">
      <w:pPr>
        <w:pStyle w:val="3GPPHeader"/>
      </w:pPr>
      <w:r>
        <w:t>Hangzhou, P.R. China 15th – 19th May 2017</w:t>
      </w:r>
    </w:p>
    <w:p w:rsidR="007A4734" w:rsidRDefault="007A4734" w:rsidP="007A4734">
      <w:pPr>
        <w:pStyle w:val="3GPPHeader"/>
      </w:pPr>
    </w:p>
    <w:p w:rsidR="007A4734" w:rsidRDefault="007A4734" w:rsidP="007A4734">
      <w:pPr>
        <w:pStyle w:val="3GPPHeader"/>
      </w:pPr>
      <w:r>
        <w:t>Source:</w:t>
      </w:r>
      <w:r>
        <w:tab/>
        <w:t>Ericsson</w:t>
      </w:r>
    </w:p>
    <w:p w:rsidR="007A4734" w:rsidRDefault="007A4734" w:rsidP="007A4734">
      <w:pPr>
        <w:pStyle w:val="3GPPHeader"/>
      </w:pPr>
      <w:r>
        <w:t>Title:</w:t>
      </w:r>
      <w:r>
        <w:tab/>
        <w:t xml:space="preserve">Impact of Information Bit Locations to Polar Codes with High Order Modulations </w:t>
      </w:r>
    </w:p>
    <w:p w:rsidR="007A4734" w:rsidRDefault="007A4734" w:rsidP="007A4734">
      <w:pPr>
        <w:pStyle w:val="3GPPHeader"/>
      </w:pPr>
      <w:r>
        <w:t>Agenda Item:</w:t>
      </w:r>
      <w:r>
        <w:tab/>
        <w:t>7.1.4.2.1.2</w:t>
      </w:r>
    </w:p>
    <w:p w:rsidR="007A4734" w:rsidRDefault="007A4734" w:rsidP="007A4734">
      <w:pPr>
        <w:pStyle w:val="3GPPHeader"/>
      </w:pPr>
      <w:r>
        <w:t>Document for:</w:t>
      </w:r>
      <w:r>
        <w:tab/>
        <w:t>Discussion and Decision</w:t>
      </w:r>
    </w:p>
    <w:p w:rsidR="002E167A" w:rsidRPr="00CE0424" w:rsidRDefault="002E167A" w:rsidP="002E167A">
      <w:pPr>
        <w:pStyle w:val="Heading1"/>
      </w:pPr>
      <w:r>
        <w:t>Introduction</w:t>
      </w:r>
      <w:bookmarkEnd w:id="0"/>
    </w:p>
    <w:p w:rsidR="00F11F40" w:rsidRDefault="002E167A" w:rsidP="002E167A">
      <w:pPr>
        <w:pStyle w:val="BodyText"/>
      </w:pPr>
      <w:r>
        <w:t>In RAN1#88 meeting,</w:t>
      </w:r>
      <w:r w:rsidRPr="009E7FBF">
        <w:t xml:space="preserve"> </w:t>
      </w:r>
      <w:r w:rsidRPr="009A47A8">
        <w:t>an agreement was reached to adopt Polar codes</w:t>
      </w:r>
      <w:r>
        <w:t xml:space="preserve"> for both UL and DL control channels in NR</w:t>
      </w:r>
      <w:r w:rsidRPr="009A47A8">
        <w:t xml:space="preserve"> (except for very small block lengths where repetition/block coding may be preferred</w:t>
      </w:r>
      <w:r>
        <w:t xml:space="preserve">). </w:t>
      </w:r>
      <w:r w:rsidR="00F11F40">
        <w:t xml:space="preserve"> </w:t>
      </w:r>
    </w:p>
    <w:p w:rsidR="00F11F40" w:rsidRDefault="00F11F40" w:rsidP="00F11F40">
      <w:pPr>
        <w:pStyle w:val="BodyText"/>
      </w:pPr>
      <w:r>
        <w:t xml:space="preserve">Design of Polar codes typically assumes that each bit of a coded block goes through an identically distributed underlying binary-input discrete memoryless channel (BI-DMC).  While this assumption is true for AWGN channel, it does not necessarily hold when modulation schemes of order higher than QPSK is employed, for example, in UCI transmissions through PUSCH, different code bits may experience BI-DMC of different qualities.   </w:t>
      </w:r>
    </w:p>
    <w:p w:rsidR="002E167A" w:rsidRPr="00FD74F6" w:rsidRDefault="00947F37" w:rsidP="002E167A">
      <w:pPr>
        <w:pStyle w:val="BodyText"/>
      </w:pPr>
      <w:r>
        <w:t>This contribution shows</w:t>
      </w:r>
      <w:r w:rsidR="002E167A">
        <w:t xml:space="preserve"> the performance of polar codes </w:t>
      </w:r>
      <w:r w:rsidR="00541177">
        <w:t xml:space="preserve">when using higher modulation schemes. </w:t>
      </w:r>
      <w:r>
        <w:t>It compares the performance for t</w:t>
      </w:r>
      <w:r w:rsidR="002F4128">
        <w:t>hree</w:t>
      </w:r>
      <w:r>
        <w:t xml:space="preserve"> different in</w:t>
      </w:r>
      <w:r w:rsidR="001C292F">
        <w:t xml:space="preserve">formation bit ordering schemes. </w:t>
      </w:r>
    </w:p>
    <w:p w:rsidR="002E167A" w:rsidRDefault="002E167A" w:rsidP="002E167A">
      <w:pPr>
        <w:pStyle w:val="Heading1"/>
      </w:pPr>
      <w:r>
        <w:t>Performance for higher modulation schemes</w:t>
      </w:r>
    </w:p>
    <w:p w:rsidR="002E167A" w:rsidRDefault="002E167A" w:rsidP="002E167A">
      <w:pPr>
        <w:pStyle w:val="Heading2"/>
      </w:pPr>
      <w:r>
        <w:t>Theory</w:t>
      </w:r>
    </w:p>
    <w:p w:rsidR="001C292F" w:rsidRDefault="00947F37" w:rsidP="002F4128">
      <w:r>
        <w:t>For higher modulation schemes such as 16QAM and 64QAM</w:t>
      </w:r>
      <w:r w:rsidR="00DA7A4E">
        <w:t xml:space="preserve"> it is possible to protect some groups of bits better than others. This is achieved by </w:t>
      </w:r>
      <w:r w:rsidR="001C292F">
        <w:t xml:space="preserve">using a suitable bit-labelling. The bit-labelling is explained below. </w:t>
      </w:r>
      <w:r w:rsidR="00C776F5">
        <w:t xml:space="preserve">The information bit ordering schemes of Polar codes are typically designed based on the assumption that all bits experience the same protection level. It is however possible to take advantage of the knowledge of the different protection levels by using a suitable information bit ordering scheme. </w:t>
      </w:r>
    </w:p>
    <w:p w:rsidR="002F4128" w:rsidRDefault="002F4128" w:rsidP="00947F37">
      <w:pPr>
        <w:pStyle w:val="Heading3"/>
        <w:numPr>
          <w:ilvl w:val="2"/>
          <w:numId w:val="8"/>
        </w:numPr>
        <w:textAlignment w:val="auto"/>
      </w:pPr>
      <w:r>
        <w:t>Bit-labelling</w:t>
      </w:r>
    </w:p>
    <w:p w:rsidR="00563049" w:rsidRDefault="00482271" w:rsidP="00947F37">
      <w:r>
        <w:t xml:space="preserve">Figure 1 shows one possible bit-labelling for a 16QAM constellation. With this labelling the protection levels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d>
        <m:r>
          <w:rPr>
            <w:rFonts w:ascii="Cambria Math" w:hAnsi="Cambria Math"/>
          </w:rPr>
          <m:t xml:space="preserve"> </m:t>
        </m:r>
      </m:oMath>
      <w:r>
        <w:t xml:space="preserve">of the bits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 </w:t>
      </w:r>
      <m:oMath>
        <m:r>
          <w:rPr>
            <w:rFonts w:ascii="Cambria Math" w:hAnsi="Cambria Math"/>
          </w:rPr>
          <m:t>i∈</m:t>
        </m:r>
        <m:d>
          <m:dPr>
            <m:begChr m:val="["/>
            <m:endChr m:val="]"/>
            <m:ctrlPr>
              <w:rPr>
                <w:rFonts w:ascii="Cambria Math" w:hAnsi="Cambria Math"/>
                <w:i/>
              </w:rPr>
            </m:ctrlPr>
          </m:dPr>
          <m:e>
            <m:r>
              <w:rPr>
                <w:rFonts w:ascii="Cambria Math" w:hAnsi="Cambria Math"/>
              </w:rPr>
              <m:t>1,4</m:t>
            </m:r>
          </m:e>
        </m:d>
        <m:r>
          <w:rPr>
            <w:rFonts w:ascii="Cambria Math" w:hAnsi="Cambria Math"/>
          </w:rPr>
          <m:t xml:space="preserve"> </m:t>
        </m:r>
      </m:oMath>
      <w:r>
        <w:t>form</w:t>
      </w:r>
      <w:proofErr w:type="spellStart"/>
      <w:r>
        <w:t>ing</w:t>
      </w:r>
      <w:proofErr w:type="spellEnd"/>
      <w:r>
        <w:t xml:space="preserve"> a 16QAM modulation symbol are: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e>
        </m:d>
        <m:r>
          <w:rPr>
            <w:rFonts w:ascii="Cambria Math" w:hAnsi="Cambria Math"/>
          </w:rPr>
          <m:t>&gt;Q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e>
        </m:d>
        <m:r>
          <w:rPr>
            <w:rFonts w:ascii="Cambria Math" w:hAnsi="Cambria Math"/>
          </w:rPr>
          <m:t>= Q(</m:t>
        </m:r>
        <m:sSub>
          <m:sSubPr>
            <m:ctrlPr>
              <w:rPr>
                <w:rFonts w:ascii="Cambria Math" w:hAnsi="Cambria Math"/>
                <w:i/>
              </w:rPr>
            </m:ctrlPr>
          </m:sSubPr>
          <m:e>
            <m:r>
              <w:rPr>
                <w:rFonts w:ascii="Cambria Math" w:hAnsi="Cambria Math"/>
              </w:rPr>
              <m:t>b</m:t>
            </m:r>
          </m:e>
          <m:sub>
            <m:r>
              <w:rPr>
                <w:rFonts w:ascii="Cambria Math" w:hAnsi="Cambria Math"/>
              </w:rPr>
              <m:t>4</m:t>
            </m:r>
          </m:sub>
        </m:sSub>
        <m:r>
          <w:rPr>
            <w:rFonts w:ascii="Cambria Math" w:hAnsi="Cambria Math"/>
          </w:rPr>
          <m:t>)</m:t>
        </m:r>
      </m:oMath>
      <w:r>
        <w:t>.</w:t>
      </w:r>
    </w:p>
    <w:p w:rsidR="006D0A51" w:rsidRDefault="006D0A51" w:rsidP="006D0A51">
      <w:pPr>
        <w:jc w:val="center"/>
      </w:pPr>
      <w:bookmarkStart w:id="2" w:name="_Ref477886382"/>
      <w:r w:rsidRPr="006D0A51">
        <w:rPr>
          <w:noProof/>
          <w:lang w:val="en-US"/>
        </w:rPr>
        <w:drawing>
          <wp:inline distT="0" distB="0" distL="0" distR="0" wp14:anchorId="4A4045C7" wp14:editId="1EC1C18E">
            <wp:extent cx="2520000" cy="25200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20000" cy="2520000"/>
                    </a:xfrm>
                    <a:prstGeom prst="rect">
                      <a:avLst/>
                    </a:prstGeom>
                    <a:noFill/>
                    <a:ln>
                      <a:noFill/>
                    </a:ln>
                  </pic:spPr>
                </pic:pic>
              </a:graphicData>
            </a:graphic>
          </wp:inline>
        </w:drawing>
      </w:r>
    </w:p>
    <w:p w:rsidR="006D0A51" w:rsidRDefault="006D0A51" w:rsidP="006D0A51">
      <w:pPr>
        <w:pStyle w:val="Caption"/>
      </w:pPr>
      <w:r>
        <w:t>Figure 1. B</w:t>
      </w:r>
      <w:r w:rsidR="002F4128">
        <w:t>it-labe</w:t>
      </w:r>
      <w:r>
        <w:t>l</w:t>
      </w:r>
      <w:r w:rsidR="002F4128">
        <w:t>l</w:t>
      </w:r>
      <w:r>
        <w:t>ing for 16QAM constellation</w:t>
      </w:r>
    </w:p>
    <w:p w:rsidR="00482271" w:rsidRDefault="00482271" w:rsidP="00482271"/>
    <w:p w:rsidR="00482271" w:rsidRPr="00482271" w:rsidRDefault="00482271" w:rsidP="00482271">
      <w:r>
        <w:t xml:space="preserve">Figure 2 shows one possible bit-labelling for 64QAM. With this labelling the protection levels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i</m:t>
                </m:r>
              </m:sub>
            </m:sSub>
          </m:e>
        </m:d>
        <m:r>
          <w:rPr>
            <w:rFonts w:ascii="Cambria Math" w:hAnsi="Cambria Math"/>
          </w:rPr>
          <m:t xml:space="preserve"> </m:t>
        </m:r>
      </m:oMath>
      <w:r>
        <w:t xml:space="preserve">of the bits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t xml:space="preserve"> , </w:t>
      </w:r>
      <m:oMath>
        <m:r>
          <w:rPr>
            <w:rFonts w:ascii="Cambria Math" w:hAnsi="Cambria Math"/>
          </w:rPr>
          <m:t>i∈</m:t>
        </m:r>
        <m:d>
          <m:dPr>
            <m:begChr m:val="["/>
            <m:endChr m:val="]"/>
            <m:ctrlPr>
              <w:rPr>
                <w:rFonts w:ascii="Cambria Math" w:hAnsi="Cambria Math"/>
                <w:i/>
              </w:rPr>
            </m:ctrlPr>
          </m:dPr>
          <m:e>
            <m:r>
              <w:rPr>
                <w:rFonts w:ascii="Cambria Math" w:hAnsi="Cambria Math"/>
              </w:rPr>
              <m:t>1,6</m:t>
            </m:r>
          </m:e>
        </m:d>
        <m:r>
          <w:rPr>
            <w:rFonts w:ascii="Cambria Math" w:hAnsi="Cambria Math"/>
          </w:rPr>
          <m:t xml:space="preserve"> </m:t>
        </m:r>
      </m:oMath>
      <w:r>
        <w:t xml:space="preserve">forming a 64QAM modulation symbol are:  </w:t>
      </w:r>
      <m:oMath>
        <m:r>
          <w:rPr>
            <w:rFonts w:ascii="Cambria Math" w:hAnsi="Cambria Math"/>
          </w:rPr>
          <m: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1</m:t>
                </m:r>
              </m:sub>
            </m:sSub>
          </m:e>
        </m:d>
        <m:r>
          <w:rPr>
            <w:rFonts w:ascii="Cambria Math" w:hAnsi="Cambria Math"/>
          </w:rPr>
          <m:t>= 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2</m:t>
                </m:r>
              </m:sub>
            </m:sSub>
          </m:e>
        </m:d>
        <m:r>
          <w:rPr>
            <w:rFonts w:ascii="Cambria Math" w:hAnsi="Cambria Math"/>
          </w:rPr>
          <m:t>&gt;Q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3</m:t>
                </m:r>
              </m:sub>
            </m:sSub>
          </m:e>
        </m:d>
        <m:r>
          <w:rPr>
            <w:rFonts w:ascii="Cambria Math" w:hAnsi="Cambria Math"/>
          </w:rPr>
          <m:t>= 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4</m:t>
                </m:r>
              </m:sub>
            </m:sSub>
          </m:e>
        </m:d>
        <m:r>
          <w:rPr>
            <w:rFonts w:ascii="Cambria Math" w:hAnsi="Cambria Math"/>
          </w:rPr>
          <m:t>&gt;Q</m:t>
        </m:r>
        <m:d>
          <m:dPr>
            <m:ctrlPr>
              <w:rPr>
                <w:rFonts w:ascii="Cambria Math" w:hAnsi="Cambria Math"/>
                <w:i/>
              </w:rPr>
            </m:ctrlPr>
          </m:dPr>
          <m:e>
            <m:sSub>
              <m:sSubPr>
                <m:ctrlPr>
                  <w:rPr>
                    <w:rFonts w:ascii="Cambria Math" w:hAnsi="Cambria Math"/>
                    <w:i/>
                  </w:rPr>
                </m:ctrlPr>
              </m:sSubPr>
              <m:e>
                <m:r>
                  <w:rPr>
                    <w:rFonts w:ascii="Cambria Math" w:hAnsi="Cambria Math"/>
                  </w:rPr>
                  <m:t>b</m:t>
                </m:r>
              </m:e>
              <m:sub>
                <m:r>
                  <w:rPr>
                    <w:rFonts w:ascii="Cambria Math" w:hAnsi="Cambria Math"/>
                  </w:rPr>
                  <m:t>5</m:t>
                </m:r>
              </m:sub>
            </m:sSub>
          </m:e>
        </m:d>
        <m:r>
          <w:rPr>
            <w:rFonts w:ascii="Cambria Math" w:hAnsi="Cambria Math"/>
          </w:rPr>
          <m:t>=Q(</m:t>
        </m:r>
        <m:sSub>
          <m:sSubPr>
            <m:ctrlPr>
              <w:rPr>
                <w:rFonts w:ascii="Cambria Math" w:hAnsi="Cambria Math"/>
                <w:i/>
              </w:rPr>
            </m:ctrlPr>
          </m:sSubPr>
          <m:e>
            <m:r>
              <w:rPr>
                <w:rFonts w:ascii="Cambria Math" w:hAnsi="Cambria Math"/>
              </w:rPr>
              <m:t>b</m:t>
            </m:r>
          </m:e>
          <m:sub>
            <m:r>
              <w:rPr>
                <w:rFonts w:ascii="Cambria Math" w:hAnsi="Cambria Math"/>
              </w:rPr>
              <m:t>6</m:t>
            </m:r>
          </m:sub>
        </m:sSub>
        <m:r>
          <w:rPr>
            <w:rFonts w:ascii="Cambria Math" w:hAnsi="Cambria Math"/>
          </w:rPr>
          <m:t>)</m:t>
        </m:r>
      </m:oMath>
      <w:r>
        <w:t>.</w:t>
      </w:r>
    </w:p>
    <w:p w:rsidR="003905AE" w:rsidRDefault="006D0A51" w:rsidP="006D0A51">
      <w:pPr>
        <w:jc w:val="center"/>
      </w:pPr>
      <w:r w:rsidRPr="006D0A51">
        <w:rPr>
          <w:noProof/>
          <w:lang w:val="en-US"/>
        </w:rPr>
        <w:drawing>
          <wp:inline distT="0" distB="0" distL="0" distR="0" wp14:anchorId="0A2B2B66" wp14:editId="352C8E1F">
            <wp:extent cx="4320000" cy="432000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4320000"/>
                    </a:xfrm>
                    <a:prstGeom prst="rect">
                      <a:avLst/>
                    </a:prstGeom>
                    <a:noFill/>
                    <a:ln>
                      <a:noFill/>
                    </a:ln>
                  </pic:spPr>
                </pic:pic>
              </a:graphicData>
            </a:graphic>
          </wp:inline>
        </w:drawing>
      </w:r>
    </w:p>
    <w:p w:rsidR="006D0A51" w:rsidRDefault="006D0A51" w:rsidP="006D0A51">
      <w:pPr>
        <w:pStyle w:val="Caption"/>
      </w:pPr>
      <w:r>
        <w:t>Figure 2. Bit-labelling for 64QAM constellation</w:t>
      </w:r>
    </w:p>
    <w:p w:rsidR="002F4128" w:rsidRDefault="002F4128" w:rsidP="002F4128"/>
    <w:p w:rsidR="001C292F" w:rsidRDefault="001C292F" w:rsidP="001C292F">
      <w:pPr>
        <w:pStyle w:val="Heading3"/>
        <w:numPr>
          <w:ilvl w:val="0"/>
          <w:numId w:val="0"/>
        </w:numPr>
        <w:ind w:left="720" w:hanging="720"/>
        <w:textAlignment w:val="auto"/>
      </w:pPr>
    </w:p>
    <w:p w:rsidR="002F4128" w:rsidRDefault="002F4128" w:rsidP="002F4128">
      <w:pPr>
        <w:pStyle w:val="Heading3"/>
        <w:numPr>
          <w:ilvl w:val="2"/>
          <w:numId w:val="8"/>
        </w:numPr>
        <w:textAlignment w:val="auto"/>
      </w:pPr>
      <w:r>
        <w:t>Methods of Generating Information Set</w:t>
      </w:r>
    </w:p>
    <w:p w:rsidR="002F4128" w:rsidRDefault="002F4128" w:rsidP="002F4128">
      <w:r>
        <w:t xml:space="preserve">Three methods of generating an information set of size </w:t>
      </w:r>
      <m:oMath>
        <m:r>
          <w:rPr>
            <w:rFonts w:ascii="Cambria Math" w:hAnsi="Cambria Math"/>
          </w:rPr>
          <m:t>K</m:t>
        </m:r>
      </m:oMath>
      <w:r>
        <w:t xml:space="preserve"> for a polar code of length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sidR="007174D7">
        <w:t xml:space="preserve"> are considered. As opposed to method 3, methods 1 and 2 do not consider the fact that the bits forming one modulation symbol have different protection levels when using higher modulation schemes. </w:t>
      </w:r>
    </w:p>
    <w:p w:rsidR="002F4128" w:rsidRDefault="002F4128" w:rsidP="002F4128">
      <w:pPr>
        <w:pStyle w:val="ListParagraph"/>
        <w:numPr>
          <w:ilvl w:val="0"/>
          <w:numId w:val="10"/>
        </w:numPr>
      </w:pPr>
      <w:r>
        <w:t xml:space="preserve">PW Sequence </w:t>
      </w:r>
      <w:r w:rsidR="003038DA">
        <w:fldChar w:fldCharType="begin"/>
      </w:r>
      <w:r w:rsidR="003038DA">
        <w:instrText xml:space="preserve"> REF _Ref477259858 \r \h </w:instrText>
      </w:r>
      <w:r w:rsidR="003038DA">
        <w:fldChar w:fldCharType="separate"/>
      </w:r>
      <w:r w:rsidR="003038DA">
        <w:t>[1]</w:t>
      </w:r>
      <w:r w:rsidR="003038DA">
        <w:fldChar w:fldCharType="end"/>
      </w:r>
      <w:r>
        <w:t xml:space="preserve">:  The info set is chosen </w:t>
      </w:r>
      <w:proofErr w:type="gramStart"/>
      <w:r>
        <w:t>according to</w:t>
      </w:r>
      <w:proofErr w:type="gramEnd"/>
      <w:r>
        <w:t xml:space="preserve"> the </w:t>
      </w:r>
      <m:oMath>
        <m:r>
          <w:rPr>
            <w:rFonts w:ascii="Cambria Math" w:hAnsi="Cambria Math"/>
          </w:rPr>
          <m:t>β</m:t>
        </m:r>
      </m:oMath>
      <w:r>
        <w:t xml:space="preserve">-expansion formula with </w:t>
      </w:r>
      <m:oMath>
        <m:r>
          <w:rPr>
            <w:rFonts w:ascii="Cambria Math" w:hAnsi="Cambria Math"/>
          </w:rPr>
          <m:t>β=</m:t>
        </m:r>
        <m:sSup>
          <m:sSupPr>
            <m:ctrlPr>
              <w:rPr>
                <w:rFonts w:ascii="Cambria Math" w:hAnsi="Cambria Math"/>
                <w:i/>
              </w:rPr>
            </m:ctrlPr>
          </m:sSupPr>
          <m:e>
            <m:r>
              <w:rPr>
                <w:rFonts w:ascii="Cambria Math" w:hAnsi="Cambria Math"/>
              </w:rPr>
              <m:t>2</m:t>
            </m:r>
          </m:e>
          <m:sup>
            <m:r>
              <w:rPr>
                <w:rFonts w:ascii="Cambria Math" w:hAnsi="Cambria Math"/>
              </w:rPr>
              <m:t>1/4</m:t>
            </m:r>
          </m:sup>
        </m:sSup>
      </m:oMath>
      <w:r>
        <w:t>.</w:t>
      </w:r>
    </w:p>
    <w:p w:rsidR="002F4128" w:rsidRDefault="002F4128" w:rsidP="002F4128">
      <w:pPr>
        <w:pStyle w:val="ListParagraph"/>
      </w:pPr>
    </w:p>
    <w:p w:rsidR="002F4128" w:rsidRDefault="002F4128" w:rsidP="002F4128">
      <w:pPr>
        <w:pStyle w:val="ListParagraph"/>
        <w:numPr>
          <w:ilvl w:val="0"/>
          <w:numId w:val="10"/>
        </w:numPr>
        <w:rPr>
          <w:rFonts w:eastAsiaTheme="minorEastAsia"/>
          <w:lang w:val="en-US"/>
        </w:rPr>
      </w:pPr>
      <w:r>
        <w:t xml:space="preserve">Density Evolution (DE): </w:t>
      </w:r>
      <w:r>
        <w:rPr>
          <w:lang w:val="en-US"/>
        </w:rPr>
        <w:t xml:space="preserve">Evaluation of the </w:t>
      </w:r>
      <w:proofErr w:type="spellStart"/>
      <w:r>
        <w:rPr>
          <w:lang w:val="en-US"/>
        </w:rPr>
        <w:t>subchannel</w:t>
      </w:r>
      <w:proofErr w:type="spellEnd"/>
      <w:r>
        <w:rPr>
          <w:lang w:val="en-US"/>
        </w:rPr>
        <w:t xml:space="preserve"> error </w:t>
      </w:r>
      <w:proofErr w:type="spellStart"/>
      <w:r>
        <w:rPr>
          <w:lang w:val="en-US"/>
        </w:rPr>
        <w:t>probabilties</w:t>
      </w:r>
      <w:proofErr w:type="spellEnd"/>
      <w:r>
        <w:rPr>
          <w:lang w:val="en-US"/>
        </w:rPr>
        <w:t xml:space="preserve"> </w:t>
      </w:r>
      <m:oMath>
        <m:r>
          <w:rPr>
            <w:rFonts w:ascii="Cambria Math" w:hAnsi="Cambria Math"/>
            <w:lang w:val="en-US"/>
          </w:rPr>
          <m:t>P(</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m:t>
        </m:r>
      </m:oMath>
      <w:r>
        <w:rPr>
          <w:rFonts w:eastAsiaTheme="minorEastAsia"/>
          <w:lang w:val="en-US"/>
        </w:rPr>
        <w:t xml:space="preserve"> via density evolution assuming a symmetric AWGN channel. Given that </w:t>
      </w:r>
      <m:oMath>
        <m:sSub>
          <m:sSubPr>
            <m:ctrlPr>
              <w:rPr>
                <w:rFonts w:ascii="Cambria Math" w:eastAsiaTheme="minorEastAsia" w:hAnsi="Cambria Math"/>
                <w:i/>
                <w:lang w:val="en-US"/>
              </w:rPr>
            </m:ctrlPr>
          </m:sSubPr>
          <m:e>
            <m:r>
              <w:rPr>
                <w:rFonts w:ascii="Cambria Math" w:eastAsiaTheme="minorEastAsia" w:hAnsi="Cambria Math"/>
                <w:lang w:val="en-US"/>
              </w:rPr>
              <m:t>a</m:t>
            </m:r>
          </m:e>
          <m:sub>
            <m:r>
              <w:rPr>
                <w:rFonts w:ascii="Cambria Math" w:eastAsiaTheme="minorEastAsia" w:hAnsi="Cambria Math"/>
                <w:lang w:val="en-US"/>
              </w:rPr>
              <m:t>W</m:t>
            </m:r>
          </m:sub>
        </m:sSub>
      </m:oMath>
      <w:r>
        <w:rPr>
          <w:rFonts w:eastAsiaTheme="minorEastAsia"/>
          <w:lang w:val="en-US"/>
        </w:rPr>
        <w:t xml:space="preserve"> is the probability density function of LLR of the original channel </w:t>
      </w:r>
      <m:oMath>
        <m:r>
          <w:rPr>
            <w:rFonts w:ascii="Cambria Math" w:eastAsiaTheme="minorEastAsia" w:hAnsi="Cambria Math"/>
            <w:lang w:val="en-US"/>
          </w:rPr>
          <m:t>W</m:t>
        </m:r>
      </m:oMath>
      <w:r>
        <w:rPr>
          <w:rFonts w:eastAsiaTheme="minorEastAsia"/>
          <w:lang w:val="en-US"/>
        </w:rPr>
        <w:t xml:space="preserve"> when 0 is transmitted, the rule of calculating the densities is </w:t>
      </w:r>
    </w:p>
    <w:p w:rsidR="002F4128" w:rsidRDefault="001E5C82" w:rsidP="002F4128">
      <w:pPr>
        <w:pStyle w:val="ListParagraph"/>
        <w:spacing w:after="200" w:line="276" w:lineRule="auto"/>
        <w:jc w:val="center"/>
        <w:rPr>
          <w:rFonts w:eastAsiaTheme="minorEastAsia"/>
          <w:lang w:val="en-US"/>
        </w:rPr>
      </w:pPr>
      <m:oMathPara>
        <m:oMath>
          <m:sSubSup>
            <m:sSubSupPr>
              <m:ctrlPr>
                <w:rPr>
                  <w:rFonts w:ascii="Cambria Math" w:eastAsiaTheme="minorEastAsia" w:hAnsi="Cambria Math"/>
                  <w:i/>
                  <w:iCs/>
                </w:rPr>
              </m:ctrlPr>
            </m:sSubSupPr>
            <m:e>
              <m:r>
                <w:rPr>
                  <w:rFonts w:ascii="Cambria Math" w:eastAsiaTheme="minorEastAsia" w:hAnsi="Cambria Math"/>
                </w:rPr>
                <m:t>a</m:t>
              </m:r>
            </m:e>
            <m:sub>
              <m:r>
                <w:rPr>
                  <w:rFonts w:ascii="Cambria Math" w:eastAsiaTheme="minorEastAsia" w:hAnsi="Cambria Math"/>
                  <w:lang w:val="en-US"/>
                </w:rPr>
                <m:t>2</m:t>
              </m:r>
              <m:r>
                <w:rPr>
                  <w:rFonts w:ascii="Cambria Math" w:eastAsiaTheme="minorEastAsia" w:hAnsi="Cambria Math"/>
                </w:rPr>
                <m:t>N</m:t>
              </m:r>
            </m:sub>
            <m:sup>
              <m:r>
                <w:rPr>
                  <w:rFonts w:ascii="Cambria Math" w:eastAsiaTheme="minorEastAsia" w:hAnsi="Cambria Math"/>
                  <w:lang w:val="en-US"/>
                </w:rPr>
                <m:t>(2</m:t>
              </m:r>
              <m:r>
                <w:rPr>
                  <w:rFonts w:ascii="Cambria Math" w:eastAsiaTheme="minorEastAsia" w:hAnsi="Cambria Math"/>
                </w:rPr>
                <m:t>i</m:t>
              </m:r>
              <m:r>
                <w:rPr>
                  <w:rFonts w:ascii="Cambria Math" w:eastAsiaTheme="minorEastAsia" w:hAnsi="Cambria Math"/>
                  <w:lang w:val="en-US"/>
                </w:rPr>
                <m:t>)</m:t>
              </m:r>
            </m:sup>
          </m:sSubSup>
          <m:r>
            <w:rPr>
              <w:rFonts w:ascii="Cambria Math" w:eastAsiaTheme="minorEastAsia" w:hAnsi="Cambria Math"/>
              <w:lang w:val="en-US"/>
            </w:rPr>
            <m:t>=</m:t>
          </m:r>
          <m:sSubSup>
            <m:sSubSupPr>
              <m:ctrlPr>
                <w:rPr>
                  <w:rFonts w:ascii="Cambria Math" w:eastAsiaTheme="minorEastAsia" w:hAnsi="Cambria Math"/>
                  <w:i/>
                  <w:iCs/>
                </w:rPr>
              </m:ctrlPr>
            </m:sSubSupPr>
            <m:e>
              <m:r>
                <w:rPr>
                  <w:rFonts w:ascii="Cambria Math" w:eastAsiaTheme="minorEastAsia" w:hAnsi="Cambria Math"/>
                </w:rPr>
                <m:t>a</m:t>
              </m:r>
            </m:e>
            <m:sub>
              <m:r>
                <w:rPr>
                  <w:rFonts w:ascii="Cambria Math" w:eastAsiaTheme="minorEastAsia" w:hAnsi="Cambria Math"/>
                </w:rPr>
                <m:t>N</m:t>
              </m:r>
            </m:sub>
            <m:sup>
              <m:r>
                <w:rPr>
                  <w:rFonts w:ascii="Cambria Math" w:eastAsiaTheme="minorEastAsia" w:hAnsi="Cambria Math"/>
                  <w:lang w:val="en-US"/>
                </w:rPr>
                <m:t>(</m:t>
              </m:r>
              <m:r>
                <w:rPr>
                  <w:rFonts w:ascii="Cambria Math" w:eastAsiaTheme="minorEastAsia" w:hAnsi="Cambria Math"/>
                </w:rPr>
                <m:t>i</m:t>
              </m:r>
              <m:r>
                <w:rPr>
                  <w:rFonts w:ascii="Cambria Math" w:eastAsiaTheme="minorEastAsia" w:hAnsi="Cambria Math"/>
                  <w:lang w:val="en-US"/>
                </w:rPr>
                <m:t>)</m:t>
              </m:r>
            </m:sup>
          </m:sSubSup>
          <m:r>
            <w:rPr>
              <w:rFonts w:ascii="Cambria Math" w:eastAsiaTheme="minorEastAsia" w:hAnsi="Cambria Math"/>
              <w:lang w:val="en-US"/>
            </w:rPr>
            <m:t>⋆</m:t>
          </m:r>
          <m:sSubSup>
            <m:sSubSupPr>
              <m:ctrlPr>
                <w:rPr>
                  <w:rFonts w:ascii="Cambria Math" w:eastAsiaTheme="minorEastAsia" w:hAnsi="Cambria Math"/>
                  <w:i/>
                  <w:iCs/>
                </w:rPr>
              </m:ctrlPr>
            </m:sSubSupPr>
            <m:e>
              <m:r>
                <w:rPr>
                  <w:rFonts w:ascii="Cambria Math" w:eastAsiaTheme="minorEastAsia" w:hAnsi="Cambria Math"/>
                </w:rPr>
                <m:t>a</m:t>
              </m:r>
            </m:e>
            <m:sub>
              <m:r>
                <w:rPr>
                  <w:rFonts w:ascii="Cambria Math" w:eastAsiaTheme="minorEastAsia" w:hAnsi="Cambria Math"/>
                </w:rPr>
                <m:t>N</m:t>
              </m:r>
            </m:sub>
            <m:sup>
              <m:d>
                <m:dPr>
                  <m:ctrlPr>
                    <w:rPr>
                      <w:rFonts w:ascii="Cambria Math" w:eastAsiaTheme="minorEastAsia" w:hAnsi="Cambria Math"/>
                      <w:i/>
                      <w:iCs/>
                    </w:rPr>
                  </m:ctrlPr>
                </m:dPr>
                <m:e>
                  <m:r>
                    <w:rPr>
                      <w:rFonts w:ascii="Cambria Math" w:eastAsiaTheme="minorEastAsia" w:hAnsi="Cambria Math"/>
                    </w:rPr>
                    <m:t>i</m:t>
                  </m:r>
                </m:e>
              </m:d>
            </m:sup>
          </m:sSubSup>
          <m:r>
            <w:rPr>
              <w:rFonts w:ascii="Cambria Math" w:eastAsiaTheme="minorEastAsia"/>
              <w:lang w:val="en-US"/>
            </w:rPr>
            <m:t xml:space="preserve">, </m:t>
          </m:r>
          <m:sSubSup>
            <m:sSubSupPr>
              <m:ctrlPr>
                <w:rPr>
                  <w:rFonts w:ascii="Cambria Math" w:eastAsiaTheme="minorEastAsia" w:hAnsi="Cambria Math"/>
                  <w:i/>
                  <w:iCs/>
                </w:rPr>
              </m:ctrlPr>
            </m:sSubSupPr>
            <m:e>
              <m:r>
                <w:rPr>
                  <w:rFonts w:ascii="Cambria Math" w:eastAsiaTheme="minorEastAsia"/>
                </w:rPr>
                <m:t xml:space="preserve">       a</m:t>
              </m:r>
            </m:e>
            <m:sub>
              <m:r>
                <w:rPr>
                  <w:rFonts w:ascii="Cambria Math" w:eastAsiaTheme="minorEastAsia"/>
                  <w:lang w:val="en-US"/>
                </w:rPr>
                <m:t>2</m:t>
              </m:r>
              <m:r>
                <w:rPr>
                  <w:rFonts w:ascii="Cambria Math" w:eastAsiaTheme="minorEastAsia"/>
                </w:rPr>
                <m:t>N</m:t>
              </m:r>
            </m:sub>
            <m:sup>
              <m:d>
                <m:dPr>
                  <m:ctrlPr>
                    <w:rPr>
                      <w:rFonts w:ascii="Cambria Math" w:eastAsiaTheme="minorEastAsia" w:hAnsi="Cambria Math"/>
                      <w:i/>
                      <w:iCs/>
                      <w:lang w:val="en-US"/>
                    </w:rPr>
                  </m:ctrlPr>
                </m:dPr>
                <m:e>
                  <m:r>
                    <w:rPr>
                      <w:rFonts w:ascii="Cambria Math" w:eastAsiaTheme="minorEastAsia"/>
                      <w:lang w:val="en-US"/>
                    </w:rPr>
                    <m:t>2</m:t>
                  </m:r>
                  <m:r>
                    <w:rPr>
                      <w:rFonts w:ascii="Cambria Math" w:eastAsiaTheme="minorEastAsia"/>
                    </w:rPr>
                    <m:t>i</m:t>
                  </m:r>
                  <m:r>
                    <w:rPr>
                      <w:rFonts w:ascii="Cambria Math" w:eastAsiaTheme="minorEastAsia"/>
                      <w:lang w:val="en-US"/>
                    </w:rPr>
                    <m:t>-</m:t>
                  </m:r>
                  <m:r>
                    <w:rPr>
                      <w:rFonts w:ascii="Cambria Math" w:eastAsiaTheme="minorEastAsia"/>
                      <w:lang w:val="en-US"/>
                    </w:rPr>
                    <m:t>1</m:t>
                  </m:r>
                </m:e>
              </m:d>
            </m:sup>
          </m:sSubSup>
          <m:r>
            <w:rPr>
              <w:rFonts w:ascii="Cambria Math" w:eastAsiaTheme="minorEastAsia"/>
              <w:lang w:val="en-US"/>
            </w:rPr>
            <m:t>=</m:t>
          </m:r>
          <m:sSubSup>
            <m:sSubSupPr>
              <m:ctrlPr>
                <w:rPr>
                  <w:rFonts w:ascii="Cambria Math" w:eastAsiaTheme="minorEastAsia" w:hAnsi="Cambria Math"/>
                  <w:i/>
                  <w:iCs/>
                </w:rPr>
              </m:ctrlPr>
            </m:sSubSupPr>
            <m:e>
              <m:r>
                <w:rPr>
                  <w:rFonts w:ascii="Cambria Math" w:eastAsiaTheme="minorEastAsia"/>
                </w:rPr>
                <m:t>a</m:t>
              </m:r>
            </m:e>
            <m:sub>
              <m:r>
                <w:rPr>
                  <w:rFonts w:ascii="Cambria Math" w:eastAsiaTheme="minorEastAsia"/>
                </w:rPr>
                <m:t>N</m:t>
              </m:r>
            </m:sub>
            <m:sup>
              <m:d>
                <m:dPr>
                  <m:ctrlPr>
                    <w:rPr>
                      <w:rFonts w:ascii="Cambria Math" w:eastAsiaTheme="minorEastAsia" w:hAnsi="Cambria Math"/>
                      <w:i/>
                      <w:iCs/>
                      <w:lang w:val="en-US"/>
                    </w:rPr>
                  </m:ctrlPr>
                </m:dPr>
                <m:e>
                  <m:r>
                    <w:rPr>
                      <w:rFonts w:ascii="Cambria Math" w:eastAsiaTheme="minorEastAsia"/>
                    </w:rPr>
                    <m:t>i</m:t>
                  </m:r>
                </m:e>
              </m:d>
            </m:sup>
          </m:sSubSup>
          <m:r>
            <w:rPr>
              <w:rFonts w:ascii="Cambria Math" w:eastAsiaTheme="minorEastAsia"/>
              <w:lang w:val="en-US"/>
            </w:rPr>
            <m:t> </m:t>
          </m:r>
          <m:r>
            <m:rPr>
              <m:sty m:val="p"/>
            </m:rPr>
            <w:rPr>
              <w:rFonts w:ascii="Cambria Math" w:hAnsi="Cambria Math"/>
              <w:lang w:val="en-US"/>
            </w:rPr>
            <w:sym w:font="Symbol" w:char="F0C4"/>
          </m:r>
          <m:r>
            <w:rPr>
              <w:rFonts w:ascii="Cambria Math" w:eastAsiaTheme="minorEastAsia"/>
              <w:lang w:val="en-US"/>
            </w:rPr>
            <m:t>  </m:t>
          </m:r>
          <m:sSubSup>
            <m:sSubSupPr>
              <m:ctrlPr>
                <w:rPr>
                  <w:rFonts w:ascii="Cambria Math" w:eastAsiaTheme="minorEastAsia" w:hAnsi="Cambria Math"/>
                  <w:i/>
                  <w:iCs/>
                </w:rPr>
              </m:ctrlPr>
            </m:sSubSupPr>
            <m:e>
              <m:r>
                <w:rPr>
                  <w:rFonts w:ascii="Cambria Math" w:eastAsiaTheme="minorEastAsia"/>
                </w:rPr>
                <m:t>a</m:t>
              </m:r>
            </m:e>
            <m:sub>
              <m:r>
                <w:rPr>
                  <w:rFonts w:ascii="Cambria Math" w:eastAsiaTheme="minorEastAsia"/>
                </w:rPr>
                <m:t>N</m:t>
              </m:r>
            </m:sub>
            <m:sup>
              <m:d>
                <m:dPr>
                  <m:ctrlPr>
                    <w:rPr>
                      <w:rFonts w:ascii="Cambria Math" w:eastAsiaTheme="minorEastAsia" w:hAnsi="Cambria Math"/>
                      <w:i/>
                      <w:iCs/>
                    </w:rPr>
                  </m:ctrlPr>
                </m:dPr>
                <m:e>
                  <m:r>
                    <w:rPr>
                      <w:rFonts w:ascii="Cambria Math" w:eastAsiaTheme="minorEastAsia"/>
                    </w:rPr>
                    <m:t>i</m:t>
                  </m:r>
                </m:e>
              </m:d>
              <m:r>
                <w:rPr>
                  <w:rFonts w:ascii="Cambria Math" w:eastAsiaTheme="minorEastAsia"/>
                </w:rPr>
                <m:t xml:space="preserve"> </m:t>
              </m:r>
            </m:sup>
          </m:sSubSup>
          <m:r>
            <w:rPr>
              <w:rFonts w:ascii="Cambria Math" w:eastAsiaTheme="minorEastAsia"/>
            </w:rPr>
            <m:t xml:space="preserve">,     </m:t>
          </m:r>
          <m:sSubSup>
            <m:sSubSupPr>
              <m:ctrlPr>
                <w:rPr>
                  <w:rFonts w:ascii="Cambria Math" w:eastAsiaTheme="minorEastAsia" w:hAnsiTheme="minorHAnsi" w:cstheme="minorBidi"/>
                  <w:i/>
                  <w:iCs/>
                  <w:sz w:val="22"/>
                  <w:szCs w:val="22"/>
                  <w:lang w:eastAsia="en-US"/>
                </w:rPr>
              </m:ctrlPr>
            </m:sSubSupPr>
            <m:e>
              <m:r>
                <w:rPr>
                  <w:rFonts w:ascii="Cambria Math" w:eastAsiaTheme="minorEastAsia"/>
                </w:rPr>
                <m:t>a</m:t>
              </m:r>
            </m:e>
            <m:sub>
              <m:r>
                <w:rPr>
                  <w:rFonts w:ascii="Cambria Math" w:eastAsiaTheme="minorEastAsia"/>
                  <w:lang w:val="en-US"/>
                </w:rPr>
                <m:t>1</m:t>
              </m:r>
            </m:sub>
            <m:sup>
              <m:r>
                <w:rPr>
                  <w:rFonts w:ascii="Cambria Math" w:eastAsiaTheme="minorEastAsia"/>
                  <w:lang w:val="en-US"/>
                </w:rPr>
                <m:t>(1)</m:t>
              </m:r>
            </m:sup>
          </m:sSubSup>
          <m:r>
            <w:rPr>
              <w:rFonts w:ascii="Cambria Math" w:eastAsiaTheme="minorEastAsia"/>
              <w:lang w:val="en-US"/>
            </w:rPr>
            <m:t>=</m:t>
          </m:r>
          <m:sSub>
            <m:sSubPr>
              <m:ctrlPr>
                <w:rPr>
                  <w:rFonts w:ascii="Cambria Math" w:eastAsiaTheme="minorEastAsia" w:hAnsiTheme="minorHAnsi" w:cstheme="minorBidi"/>
                  <w:i/>
                  <w:iCs/>
                  <w:sz w:val="22"/>
                  <w:szCs w:val="22"/>
                  <w:lang w:eastAsia="en-US"/>
                </w:rPr>
              </m:ctrlPr>
            </m:sSubPr>
            <m:e>
              <m:r>
                <w:rPr>
                  <w:rFonts w:ascii="Cambria Math" w:eastAsiaTheme="minorEastAsia"/>
                </w:rPr>
                <m:t>a</m:t>
              </m:r>
            </m:e>
            <m:sub>
              <m:r>
                <w:rPr>
                  <w:rFonts w:ascii="Cambria Math" w:eastAsiaTheme="minorEastAsia"/>
                </w:rPr>
                <m:t>W</m:t>
              </m:r>
            </m:sub>
          </m:sSub>
        </m:oMath>
      </m:oMathPara>
    </w:p>
    <w:p w:rsidR="005271B4" w:rsidRDefault="002F4128" w:rsidP="005271B4">
      <w:pPr>
        <w:pStyle w:val="ListParagraph"/>
        <w:jc w:val="both"/>
        <w:rPr>
          <w:lang w:val="en-US"/>
        </w:rPr>
      </w:pPr>
      <w:r>
        <w:rPr>
          <w:lang w:val="en-US"/>
        </w:rPr>
        <w:t xml:space="preserve">Here </w:t>
      </w:r>
      <m:oMath>
        <m:r>
          <w:rPr>
            <w:rFonts w:ascii="Cambria Math" w:eastAsiaTheme="minorEastAsia" w:hAnsi="Cambria Math"/>
            <w:lang w:val="en-US"/>
          </w:rPr>
          <m:t>⋆</m:t>
        </m:r>
      </m:oMath>
      <w:r>
        <w:rPr>
          <w:iCs/>
          <w:lang w:val="en-US"/>
        </w:rPr>
        <w:t xml:space="preserve"> denotes the convolution in the variable domain and </w:t>
      </w:r>
      <m:oMath>
        <m:r>
          <w:rPr>
            <w:rFonts w:ascii="Cambria Math" w:eastAsiaTheme="minorEastAsia"/>
            <w:lang w:val="en-US"/>
          </w:rPr>
          <m:t> </m:t>
        </m:r>
        <m:r>
          <m:rPr>
            <m:sty m:val="p"/>
          </m:rPr>
          <w:rPr>
            <w:rFonts w:ascii="Cambria Math" w:hAnsi="Cambria Math"/>
            <w:lang w:val="en-US"/>
          </w:rPr>
          <w:sym w:font="Symbol" w:char="F0C4"/>
        </m:r>
      </m:oMath>
      <w:r>
        <w:rPr>
          <w:lang w:val="en-US"/>
        </w:rPr>
        <w:t xml:space="preserve"> denotes the convolution in the check node domain. After </w:t>
      </w:r>
      <m:oMath>
        <m:sSubSup>
          <m:sSubSupPr>
            <m:ctrlPr>
              <w:rPr>
                <w:rFonts w:ascii="Cambria Math" w:hAnsi="Cambria Math"/>
                <w:i/>
                <w:iCs/>
              </w:rPr>
            </m:ctrlPr>
          </m:sSubSupPr>
          <m:e>
            <m:r>
              <w:rPr>
                <w:rFonts w:ascii="Cambria Math" w:hAnsi="Cambria Math"/>
              </w:rPr>
              <m:t>a</m:t>
            </m:r>
          </m:e>
          <m:sub>
            <m:r>
              <w:rPr>
                <w:rFonts w:ascii="Cambria Math" w:hAnsi="Cambria Math"/>
              </w:rPr>
              <m:t>N</m:t>
            </m:r>
          </m:sub>
          <m:sup>
            <m:d>
              <m:dPr>
                <m:ctrlPr>
                  <w:rPr>
                    <w:rFonts w:ascii="Cambria Math" w:hAnsi="Cambria Math"/>
                    <w:i/>
                    <w:iCs/>
                  </w:rPr>
                </m:ctrlPr>
              </m:dPr>
              <m:e>
                <m:r>
                  <w:rPr>
                    <w:rFonts w:ascii="Cambria Math" w:hAnsi="Cambria Math"/>
                  </w:rPr>
                  <m:t>i</m:t>
                </m:r>
              </m:e>
            </m:d>
          </m:sup>
        </m:sSubSup>
      </m:oMath>
      <w:r>
        <w:rPr>
          <w:lang w:val="en-US"/>
        </w:rPr>
        <w:t xml:space="preserve"> is calculated the probability </w:t>
      </w:r>
      <m:oMath>
        <m:r>
          <w:rPr>
            <w:rFonts w:ascii="Cambria Math" w:hAnsi="Cambria Math"/>
          </w:rPr>
          <m:t>P</m:t>
        </m:r>
        <m:r>
          <w:rPr>
            <w:rFonts w:ascii="Cambria Math" w:hAnsi="Cambria Math"/>
            <w:lang w:val="en-US"/>
          </w:rPr>
          <m:t>(</m:t>
        </m:r>
        <m:sSub>
          <m:sSubPr>
            <m:ctrlPr>
              <w:rPr>
                <w:rFonts w:ascii="Cambria Math" w:hAnsi="Cambria Math"/>
                <w:i/>
                <w:iCs/>
              </w:rPr>
            </m:ctrlPr>
          </m:sSubPr>
          <m:e>
            <m:r>
              <w:rPr>
                <w:rFonts w:ascii="Cambria Math" w:hAnsi="Cambria Math"/>
              </w:rPr>
              <m:t>A</m:t>
            </m:r>
          </m:e>
          <m:sub>
            <m:r>
              <w:rPr>
                <w:rFonts w:ascii="Cambria Math" w:hAnsi="Cambria Math"/>
              </w:rPr>
              <m:t>i</m:t>
            </m:r>
          </m:sub>
        </m:sSub>
        <m:r>
          <w:rPr>
            <w:rFonts w:ascii="Cambria Math" w:hAnsi="Cambria Math"/>
            <w:lang w:val="en-US"/>
          </w:rPr>
          <m:t>)</m:t>
        </m:r>
      </m:oMath>
      <w:r>
        <w:rPr>
          <w:lang w:val="en-US"/>
        </w:rPr>
        <w:t xml:space="preserve"> is calculated via integration of </w:t>
      </w:r>
      <m:oMath>
        <m:sSubSup>
          <m:sSubSupPr>
            <m:ctrlPr>
              <w:rPr>
                <w:rFonts w:ascii="Cambria Math" w:hAnsi="Cambria Math"/>
                <w:i/>
                <w:iCs/>
              </w:rPr>
            </m:ctrlPr>
          </m:sSubSupPr>
          <m:e>
            <m:r>
              <w:rPr>
                <w:rFonts w:ascii="Cambria Math" w:hAnsi="Cambria Math"/>
              </w:rPr>
              <m:t>a</m:t>
            </m:r>
          </m:e>
          <m:sub>
            <m:r>
              <w:rPr>
                <w:rFonts w:ascii="Cambria Math" w:hAnsi="Cambria Math"/>
              </w:rPr>
              <m:t>N</m:t>
            </m:r>
          </m:sub>
          <m:sup>
            <m:d>
              <m:dPr>
                <m:ctrlPr>
                  <w:rPr>
                    <w:rFonts w:ascii="Cambria Math" w:hAnsi="Cambria Math"/>
                    <w:i/>
                    <w:iCs/>
                  </w:rPr>
                </m:ctrlPr>
              </m:dPr>
              <m:e>
                <m:r>
                  <w:rPr>
                    <w:rFonts w:ascii="Cambria Math" w:hAnsi="Cambria Math"/>
                  </w:rPr>
                  <m:t>i</m:t>
                </m:r>
              </m:e>
            </m:d>
          </m:sup>
        </m:sSubSup>
      </m:oMath>
      <w:r>
        <w:rPr>
          <w:lang w:val="en-US"/>
        </w:rPr>
        <w:t xml:space="preserve"> over the interval </w:t>
      </w:r>
      <m:oMath>
        <m:r>
          <w:rPr>
            <w:rFonts w:ascii="Cambria Math" w:hAnsi="Cambria Math"/>
            <w:lang w:val="en-US"/>
          </w:rPr>
          <m:t>(-∞, 0]</m:t>
        </m:r>
      </m:oMath>
      <w:r>
        <w:rPr>
          <w:lang w:val="en-US"/>
        </w:rPr>
        <w:t xml:space="preserve">. For implementation efficiency the densities are quantized with quantization step size </w:t>
      </w:r>
      <m:oMath>
        <m:r>
          <w:rPr>
            <w:rFonts w:ascii="Cambria Math" w:hAnsi="Cambria Math"/>
            <w:lang w:val="en-US"/>
          </w:rPr>
          <m:t>δ</m:t>
        </m:r>
      </m:oMath>
      <w:r>
        <w:rPr>
          <w:lang w:val="en-US"/>
        </w:rPr>
        <w:t xml:space="preserve"> on </w:t>
      </w:r>
      <m:oMath>
        <m:r>
          <w:rPr>
            <w:rFonts w:ascii="Cambria Math" w:hAnsi="Cambria Math"/>
            <w:lang w:val="en-US"/>
          </w:rPr>
          <w:lastRenderedPageBreak/>
          <m:t>δ</m:t>
        </m:r>
        <m:sSub>
          <m:sSubPr>
            <m:ctrlPr>
              <w:rPr>
                <w:rFonts w:ascii="Cambria Math" w:hAnsi="Cambria Math"/>
                <w:i/>
                <w:lang w:val="en-US"/>
              </w:rPr>
            </m:ctrlPr>
          </m:sSubPr>
          <m:e>
            <m:d>
              <m:dPr>
                <m:begChr m:val="["/>
                <m:endChr m:val="]"/>
                <m:ctrlPr>
                  <w:rPr>
                    <w:rFonts w:ascii="Cambria Math" w:hAnsi="Cambria Math"/>
                    <w:i/>
                    <w:lang w:val="en-US"/>
                  </w:rPr>
                </m:ctrlPr>
              </m:dPr>
              <m:e>
                <m:r>
                  <w:rPr>
                    <w:rFonts w:ascii="Cambria Math" w:hAnsi="Cambria Math"/>
                    <w:lang w:val="en-US"/>
                  </w:rPr>
                  <m:t>-L,L</m:t>
                </m:r>
              </m:e>
            </m:d>
          </m:e>
          <m:sub>
            <m:r>
              <m:rPr>
                <m:scr m:val="double-struck"/>
              </m:rPr>
              <w:rPr>
                <w:rFonts w:ascii="Cambria Math" w:hAnsi="Cambria Math"/>
                <w:lang w:val="en-US"/>
              </w:rPr>
              <m:t>Z</m:t>
            </m:r>
          </m:sub>
        </m:sSub>
      </m:oMath>
      <w:r>
        <w:rPr>
          <w:lang w:val="en-US"/>
        </w:rPr>
        <w:t xml:space="preserve">. The check node domain update is done using </w:t>
      </w:r>
      <w:r w:rsidR="005F0E82">
        <w:rPr>
          <w:lang w:val="en-US"/>
        </w:rPr>
        <w:t xml:space="preserve">a table method as described in </w:t>
      </w:r>
      <w:r w:rsidR="005F0E82">
        <w:rPr>
          <w:lang w:val="en-US"/>
        </w:rPr>
        <w:fldChar w:fldCharType="begin"/>
      </w:r>
      <w:r w:rsidR="005F0E82">
        <w:rPr>
          <w:lang w:val="en-US"/>
        </w:rPr>
        <w:instrText xml:space="preserve"> REF _Ref481770668 \r \h </w:instrText>
      </w:r>
      <w:r w:rsidR="005F0E82">
        <w:rPr>
          <w:lang w:val="en-US"/>
        </w:rPr>
      </w:r>
      <w:r w:rsidR="005F0E82">
        <w:rPr>
          <w:lang w:val="en-US"/>
        </w:rPr>
        <w:fldChar w:fldCharType="separate"/>
      </w:r>
      <w:r w:rsidR="005F0E82">
        <w:rPr>
          <w:lang w:val="en-US"/>
        </w:rPr>
        <w:t>[2]</w:t>
      </w:r>
      <w:r w:rsidR="005F0E82">
        <w:rPr>
          <w:lang w:val="en-US"/>
        </w:rPr>
        <w:fldChar w:fldCharType="end"/>
      </w:r>
      <w:r>
        <w:rPr>
          <w:lang w:val="en-US"/>
        </w:rPr>
        <w:t>.</w:t>
      </w:r>
      <w:r w:rsidR="005271B4">
        <w:rPr>
          <w:lang w:val="en-US"/>
        </w:rPr>
        <w:t xml:space="preserve">  In this study, the parameters are: </w:t>
      </w:r>
      <m:oMath>
        <m:r>
          <w:rPr>
            <w:rFonts w:ascii="Cambria Math" w:eastAsia="MS Mincho" w:hAnsi="Cambria Math"/>
            <w:lang w:val="en-US" w:eastAsia="en-US"/>
          </w:rPr>
          <m:t>L</m:t>
        </m:r>
      </m:oMath>
      <w:r w:rsidR="005271B4">
        <w:rPr>
          <w:rFonts w:eastAsia="MS Mincho"/>
          <w:lang w:val="en-US" w:eastAsia="en-US"/>
        </w:rPr>
        <w:t xml:space="preserve"> = 40</w:t>
      </w:r>
      <m:oMath>
        <m:r>
          <w:rPr>
            <w:rFonts w:ascii="Cambria Math" w:eastAsia="MS Mincho" w:hAnsi="Cambria Math"/>
            <w:lang w:val="en-US" w:eastAsia="en-US"/>
          </w:rPr>
          <m:t>, δ</m:t>
        </m:r>
      </m:oMath>
      <w:r w:rsidR="005271B4">
        <w:rPr>
          <w:rFonts w:eastAsia="MS Mincho"/>
          <w:lang w:val="en-US" w:eastAsia="en-US"/>
        </w:rPr>
        <w:t>= 0.5.</w:t>
      </w:r>
    </w:p>
    <w:p w:rsidR="002F4128" w:rsidRDefault="002F4128" w:rsidP="002F4128">
      <w:pPr>
        <w:pStyle w:val="ListParagraph"/>
      </w:pPr>
    </w:p>
    <w:p w:rsidR="006D0A51" w:rsidRPr="003905AE" w:rsidRDefault="002F4128" w:rsidP="002568D6">
      <w:pPr>
        <w:pStyle w:val="ListParagraph"/>
        <w:numPr>
          <w:ilvl w:val="0"/>
          <w:numId w:val="10"/>
        </w:numPr>
      </w:pPr>
      <w:r>
        <w:t xml:space="preserve">BER-based:  The info set is formed by the indices of </w:t>
      </w:r>
      <m:oMath>
        <m:r>
          <w:rPr>
            <w:rFonts w:ascii="Cambria Math" w:hAnsi="Cambria Math"/>
          </w:rPr>
          <m:t>K</m:t>
        </m:r>
      </m:oMath>
      <w:r>
        <w:t xml:space="preserve"> bit-channels </w:t>
      </w:r>
      <w:r w:rsidR="000B510B">
        <w:t>with the smallest bit-error rate</w:t>
      </w:r>
      <w:r w:rsidR="00D40DB6">
        <w:t>s</w:t>
      </w:r>
      <w:r w:rsidR="000B510B">
        <w:t xml:space="preserve"> </w:t>
      </w:r>
      <w:r>
        <w:t>from a successive decoder (SC) when all previously decoded bits are assumed to be correct.</w:t>
      </w:r>
    </w:p>
    <w:p w:rsidR="00166D2E" w:rsidRDefault="00166D2E" w:rsidP="00166D2E">
      <w:pPr>
        <w:ind w:left="360"/>
      </w:pPr>
      <w:r>
        <w:t xml:space="preserve">In order to isolate the issue of puncturing pattern design, in this study, only Polar code sizes </w:t>
      </w:r>
      <m:oMath>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are considered, hence requiring no puncturing after encoding.</w:t>
      </w:r>
    </w:p>
    <w:p w:rsidR="00D17436" w:rsidRDefault="00D17436" w:rsidP="00D17436">
      <w:pPr>
        <w:pStyle w:val="Heading2"/>
        <w:numPr>
          <w:ilvl w:val="0"/>
          <w:numId w:val="0"/>
        </w:numPr>
      </w:pPr>
    </w:p>
    <w:p w:rsidR="002E167A" w:rsidRPr="00B60385" w:rsidRDefault="002E167A" w:rsidP="00BA3D02">
      <w:pPr>
        <w:pStyle w:val="Heading1"/>
      </w:pPr>
      <w:r>
        <w:t>Simulations</w:t>
      </w:r>
      <w:bookmarkEnd w:id="2"/>
    </w:p>
    <w:p w:rsidR="001770A6" w:rsidRDefault="001770A6" w:rsidP="001770A6">
      <w:bookmarkStart w:id="3" w:name="_Ref477885410"/>
      <w:r>
        <w:t>In this section, we present numerical results to compare the performance when using the above 3 methods to generate information bit ordering sequences.</w:t>
      </w:r>
    </w:p>
    <w:p w:rsidR="00954094" w:rsidRPr="00807479" w:rsidRDefault="00954094" w:rsidP="001770A6"/>
    <w:p w:rsidR="002E167A" w:rsidRPr="002E167A" w:rsidRDefault="002E167A" w:rsidP="002E167A">
      <w:pPr>
        <w:pStyle w:val="Heading3"/>
      </w:pPr>
      <w:r>
        <w:t>Settings</w:t>
      </w:r>
      <w:bookmarkEnd w:id="3"/>
      <w:r>
        <w:t xml:space="preserve"> </w:t>
      </w:r>
      <w:bookmarkStart w:id="4" w:name="_Ref462125875"/>
    </w:p>
    <w:p w:rsidR="002E167A" w:rsidRDefault="002E167A" w:rsidP="002E167A">
      <w:pPr>
        <w:overflowPunct/>
        <w:autoSpaceDE/>
        <w:autoSpaceDN/>
        <w:adjustRightInd/>
        <w:textAlignment w:val="auto"/>
        <w:rPr>
          <w:rFonts w:eastAsia="MS Mincho"/>
          <w:szCs w:val="24"/>
          <w:lang w:val="en-US" w:eastAsia="en-US"/>
        </w:rPr>
      </w:pPr>
      <w:r>
        <w:rPr>
          <w:rFonts w:eastAsia="MS Mincho"/>
          <w:szCs w:val="24"/>
          <w:lang w:val="en-US" w:eastAsia="en-US"/>
        </w:rPr>
        <w:t xml:space="preserve">The additive Gaussian noise is added with variances derived from the specified </w:t>
      </w:r>
      <m:oMath>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E</m:t>
            </m:r>
          </m:e>
          <m:sub>
            <m:r>
              <w:rPr>
                <w:rFonts w:ascii="Cambria Math" w:eastAsia="MS Mincho" w:hAnsi="Cambria Math"/>
                <w:szCs w:val="24"/>
                <w:lang w:val="en-US" w:eastAsia="en-US"/>
              </w:rPr>
              <m:t>s</m:t>
            </m:r>
          </m:sub>
        </m:sSub>
        <m:r>
          <w:rPr>
            <w:rFonts w:ascii="Cambria Math" w:eastAsia="MS Mincho" w:hAnsi="Cambria Math"/>
            <w:szCs w:val="24"/>
            <w:lang w:val="en-US" w:eastAsia="en-US"/>
          </w:rPr>
          <m:t>/</m:t>
        </m:r>
        <m:sSub>
          <m:sSubPr>
            <m:ctrlPr>
              <w:rPr>
                <w:rFonts w:ascii="Cambria Math" w:eastAsia="MS Mincho" w:hAnsi="Cambria Math"/>
                <w:i/>
                <w:szCs w:val="24"/>
                <w:lang w:val="en-US" w:eastAsia="en-US"/>
              </w:rPr>
            </m:ctrlPr>
          </m:sSubPr>
          <m:e>
            <m:r>
              <w:rPr>
                <w:rFonts w:ascii="Cambria Math" w:eastAsia="MS Mincho" w:hAnsi="Cambria Math"/>
                <w:szCs w:val="24"/>
                <w:lang w:val="en-US" w:eastAsia="en-US"/>
              </w:rPr>
              <m:t>N</m:t>
            </m:r>
          </m:e>
          <m:sub>
            <m:r>
              <w:rPr>
                <w:rFonts w:ascii="Cambria Math" w:eastAsia="MS Mincho" w:hAnsi="Cambria Math"/>
                <w:szCs w:val="24"/>
                <w:lang w:val="en-US" w:eastAsia="en-US"/>
              </w:rPr>
              <m:t>o</m:t>
            </m:r>
          </m:sub>
        </m:sSub>
        <m:r>
          <w:rPr>
            <w:rFonts w:ascii="Cambria Math" w:eastAsia="MS Mincho" w:hAnsi="Cambria Math"/>
            <w:szCs w:val="24"/>
            <w:lang w:val="en-US" w:eastAsia="en-US"/>
          </w:rPr>
          <m:t xml:space="preserve"> </m:t>
        </m:r>
      </m:oMath>
      <w:r>
        <w:rPr>
          <w:rFonts w:eastAsia="MS Mincho"/>
          <w:szCs w:val="24"/>
          <w:lang w:val="en-US" w:eastAsia="en-US"/>
        </w:rPr>
        <w:t>.  A standard Successive Cancellation List (SCL) decoder is used for all simulations based on the following parameters:</w:t>
      </w:r>
    </w:p>
    <w:p w:rsidR="002E167A" w:rsidRDefault="002E167A" w:rsidP="002E167A">
      <w:pPr>
        <w:pStyle w:val="ListParagraph"/>
        <w:numPr>
          <w:ilvl w:val="0"/>
          <w:numId w:val="4"/>
        </w:numPr>
        <w:rPr>
          <w:rFonts w:eastAsia="MS Mincho"/>
          <w:lang w:val="en-US" w:eastAsia="en-US"/>
        </w:rPr>
      </w:pPr>
      <w:r>
        <w:rPr>
          <w:rFonts w:eastAsia="MS Mincho"/>
          <w:lang w:val="en-US" w:eastAsia="en-US"/>
        </w:rPr>
        <w:t xml:space="preserve">CA-Polar with </w:t>
      </w:r>
      <m:oMath>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oMath>
      <w:r>
        <w:rPr>
          <w:rFonts w:eastAsia="MS Mincho"/>
          <w:lang w:val="en-US" w:eastAsia="en-US"/>
        </w:rPr>
        <w:t xml:space="preserve">=16+3 bit CRC. </w:t>
      </w:r>
    </w:p>
    <w:p w:rsidR="002E167A" w:rsidRDefault="002E167A" w:rsidP="002E167A">
      <w:pPr>
        <w:pStyle w:val="ListParagraph"/>
        <w:numPr>
          <w:ilvl w:val="0"/>
          <w:numId w:val="4"/>
        </w:numPr>
        <w:rPr>
          <w:rFonts w:eastAsia="MS Mincho"/>
          <w:lang w:val="en-US" w:eastAsia="en-US"/>
        </w:rPr>
      </w:pPr>
      <w:r>
        <w:rPr>
          <w:rFonts w:eastAsia="MS Mincho"/>
          <w:lang w:val="en-US" w:eastAsia="en-US"/>
        </w:rPr>
        <w:t xml:space="preserve">The decoder uses the 19 CRC bits to select the best code-word from the final list. </w:t>
      </w:r>
    </w:p>
    <w:p w:rsidR="002E167A" w:rsidRDefault="002E167A" w:rsidP="002E167A">
      <w:pPr>
        <w:pStyle w:val="ListParagraph"/>
        <w:numPr>
          <w:ilvl w:val="0"/>
          <w:numId w:val="5"/>
        </w:numPr>
        <w:rPr>
          <w:rFonts w:eastAsia="MS Mincho"/>
          <w:lang w:val="en-US" w:eastAsia="en-US"/>
        </w:rPr>
      </w:pPr>
      <w:r w:rsidRPr="006817EF">
        <w:rPr>
          <w:rFonts w:eastAsia="MS Mincho"/>
          <w:lang w:val="en-US" w:eastAsia="en-US"/>
        </w:rPr>
        <w:t xml:space="preserve">List </w:t>
      </w:r>
      <w:r>
        <w:rPr>
          <w:rFonts w:eastAsia="MS Mincho"/>
          <w:lang w:val="en-US" w:eastAsia="en-US"/>
        </w:rPr>
        <w:t>size</w:t>
      </w:r>
      <w:r w:rsidRPr="006817EF">
        <w:rPr>
          <w:rFonts w:eastAsia="MS Mincho"/>
          <w:lang w:val="en-US" w:eastAsia="en-US"/>
        </w:rPr>
        <w:t>s</w:t>
      </w:r>
      <w:r>
        <w:rPr>
          <w:rFonts w:eastAsia="MS Mincho"/>
          <w:lang w:val="en-US" w:eastAsia="en-US"/>
        </w:rPr>
        <w:t xml:space="preserve">, </w:t>
      </w:r>
      <m:oMath>
        <m:r>
          <w:rPr>
            <w:rFonts w:ascii="Cambria Math" w:eastAsia="MS Mincho" w:hAnsi="Cambria Math"/>
            <w:lang w:val="en-US" w:eastAsia="en-US"/>
          </w:rPr>
          <m:t>L</m:t>
        </m:r>
      </m:oMath>
      <w:r>
        <w:rPr>
          <w:rFonts w:eastAsia="MS Mincho"/>
          <w:lang w:val="en-US" w:eastAsia="en-US"/>
        </w:rPr>
        <w:t xml:space="preserve"> =</w:t>
      </w:r>
      <w:r w:rsidRPr="006817EF">
        <w:rPr>
          <w:rFonts w:eastAsia="MS Mincho"/>
          <w:lang w:val="en-US" w:eastAsia="en-US"/>
        </w:rPr>
        <w:t xml:space="preserve"> 8.</w:t>
      </w:r>
    </w:p>
    <w:p w:rsidR="002E167A" w:rsidRDefault="002E167A" w:rsidP="002E167A">
      <w:pPr>
        <w:pStyle w:val="ListParagraph"/>
        <w:numPr>
          <w:ilvl w:val="0"/>
          <w:numId w:val="5"/>
        </w:numPr>
        <w:rPr>
          <w:rFonts w:eastAsia="MS Mincho"/>
          <w:lang w:val="en-US" w:eastAsia="en-US"/>
        </w:rPr>
      </w:pPr>
      <w:r>
        <w:rPr>
          <w:rFonts w:eastAsia="MS Mincho"/>
          <w:lang w:val="en-US" w:eastAsia="en-US"/>
        </w:rPr>
        <w:t xml:space="preserve">Rates R = 1/6, 1/3, ½, 2/3, where </w:t>
      </w:r>
      <m:oMath>
        <m:r>
          <w:rPr>
            <w:rFonts w:ascii="Cambria Math" w:eastAsia="MS Mincho" w:hAnsi="Cambria Math"/>
            <w:lang w:val="en-US" w:eastAsia="en-US"/>
          </w:rPr>
          <m:t>R=K/M</m:t>
        </m:r>
      </m:oMath>
      <w:r>
        <w:rPr>
          <w:rFonts w:eastAsia="MS Mincho"/>
          <w:lang w:val="en-US" w:eastAsia="en-US"/>
        </w:rPr>
        <w:t xml:space="preserve">, where </w:t>
      </w:r>
      <m:oMath>
        <m:r>
          <w:rPr>
            <w:rFonts w:ascii="Cambria Math" w:eastAsia="MS Mincho" w:hAnsi="Cambria Math"/>
            <w:lang w:val="en-US" w:eastAsia="en-US"/>
          </w:rPr>
          <m:t>K</m:t>
        </m:r>
      </m:oMath>
      <w:r>
        <w:rPr>
          <w:rFonts w:eastAsia="MS Mincho"/>
          <w:lang w:val="en-US" w:eastAsia="en-US"/>
        </w:rPr>
        <w:t xml:space="preserve"> is the nu</w:t>
      </w:r>
      <w:r w:rsidR="00DB2C11">
        <w:rPr>
          <w:rFonts w:eastAsia="MS Mincho"/>
          <w:lang w:val="en-US" w:eastAsia="en-US"/>
        </w:rPr>
        <w:t xml:space="preserve">mber of data bits excluding CRC, and </w:t>
      </w:r>
      <m:oMath>
        <m:r>
          <w:rPr>
            <w:rFonts w:ascii="Cambria Math" w:eastAsia="MS Mincho" w:hAnsi="Cambria Math"/>
            <w:lang w:val="en-US" w:eastAsia="en-US"/>
          </w:rPr>
          <m:t>M=</m:t>
        </m:r>
        <m:r>
          <w:rPr>
            <w:rFonts w:ascii="Cambria Math" w:hAnsi="Cambria Math"/>
          </w:rPr>
          <m:t>N=</m:t>
        </m:r>
        <m:sSup>
          <m:sSupPr>
            <m:ctrlPr>
              <w:rPr>
                <w:rFonts w:ascii="Cambria Math" w:hAnsi="Cambria Math"/>
                <w:i/>
              </w:rPr>
            </m:ctrlPr>
          </m:sSupPr>
          <m:e>
            <m:r>
              <w:rPr>
                <w:rFonts w:ascii="Cambria Math" w:hAnsi="Cambria Math"/>
              </w:rPr>
              <m:t>2</m:t>
            </m:r>
          </m:e>
          <m:sup>
            <m:r>
              <w:rPr>
                <w:rFonts w:ascii="Cambria Math" w:hAnsi="Cambria Math"/>
              </w:rPr>
              <m:t>n</m:t>
            </m:r>
          </m:sup>
        </m:sSup>
      </m:oMath>
      <w:r w:rsidR="00DB2C11">
        <w:rPr>
          <w:rFonts w:eastAsia="MS Mincho"/>
          <w:lang w:val="en-US" w:eastAsia="en-US"/>
        </w:rPr>
        <w:t xml:space="preserve"> is the number of coded bits transmitted over the channel.</w:t>
      </w:r>
    </w:p>
    <w:p w:rsidR="002E167A" w:rsidRDefault="002E167A" w:rsidP="002E167A">
      <w:pPr>
        <w:pStyle w:val="ListParagraph"/>
        <w:numPr>
          <w:ilvl w:val="0"/>
          <w:numId w:val="5"/>
        </w:numPr>
        <w:rPr>
          <w:rFonts w:eastAsia="MS Mincho"/>
          <w:lang w:val="en-US" w:eastAsia="en-US"/>
        </w:rPr>
      </w:pPr>
      <w:r>
        <w:rPr>
          <w:rFonts w:eastAsia="MS Mincho"/>
          <w:lang w:val="en-US" w:eastAsia="en-US"/>
        </w:rPr>
        <w:t xml:space="preserve">Decoder rate:  </w:t>
      </w:r>
      <m:oMath>
        <m:sSub>
          <m:sSubPr>
            <m:ctrlPr>
              <w:rPr>
                <w:rFonts w:ascii="Cambria Math" w:eastAsia="MS Mincho" w:hAnsi="Cambria Math"/>
                <w:i/>
                <w:lang w:val="en-US" w:eastAsia="en-US"/>
              </w:rPr>
            </m:ctrlPr>
          </m:sSubPr>
          <m:e>
            <m:r>
              <w:rPr>
                <w:rFonts w:ascii="Cambria Math" w:eastAsia="MS Mincho" w:hAnsi="Cambria Math"/>
                <w:lang w:val="en-US" w:eastAsia="en-US"/>
              </w:rPr>
              <m:t>R</m:t>
            </m:r>
          </m:e>
          <m:sub>
            <m:r>
              <w:rPr>
                <w:rFonts w:ascii="Cambria Math" w:eastAsia="MS Mincho" w:hAnsi="Cambria Math"/>
                <w:lang w:val="en-US" w:eastAsia="en-US"/>
              </w:rPr>
              <m:t>DEC</m:t>
            </m:r>
          </m:sub>
        </m:sSub>
        <m:r>
          <w:rPr>
            <w:rFonts w:ascii="Cambria Math" w:eastAsia="MS Mincho" w:hAnsi="Cambria Math"/>
            <w:lang w:val="en-US" w:eastAsia="en-US"/>
          </w:rPr>
          <m:t>=</m:t>
        </m:r>
        <m:f>
          <m:fPr>
            <m:ctrlPr>
              <w:rPr>
                <w:rFonts w:ascii="Cambria Math" w:eastAsia="MS Mincho" w:hAnsi="Cambria Math"/>
                <w:i/>
                <w:lang w:val="en-US" w:eastAsia="en-US"/>
              </w:rPr>
            </m:ctrlPr>
          </m:fPr>
          <m:num>
            <m:r>
              <w:rPr>
                <w:rFonts w:ascii="Cambria Math" w:eastAsia="MS Mincho" w:hAnsi="Cambria Math"/>
                <w:lang w:val="en-US" w:eastAsia="en-US"/>
              </w:rPr>
              <m:t>K+</m:t>
            </m:r>
            <m:sSub>
              <m:sSubPr>
                <m:ctrlPr>
                  <w:rPr>
                    <w:rFonts w:ascii="Cambria Math" w:eastAsia="MS Mincho" w:hAnsi="Cambria Math"/>
                    <w:i/>
                    <w:lang w:val="en-US" w:eastAsia="en-US"/>
                  </w:rPr>
                </m:ctrlPr>
              </m:sSubPr>
              <m:e>
                <m:r>
                  <w:rPr>
                    <w:rFonts w:ascii="Cambria Math" w:eastAsia="MS Mincho" w:hAnsi="Cambria Math"/>
                    <w:lang w:val="en-US" w:eastAsia="en-US"/>
                  </w:rPr>
                  <m:t>n</m:t>
                </m:r>
              </m:e>
              <m:sub>
                <m:r>
                  <w:rPr>
                    <w:rFonts w:ascii="Cambria Math" w:eastAsia="MS Mincho" w:hAnsi="Cambria Math"/>
                    <w:lang w:val="en-US" w:eastAsia="en-US"/>
                  </w:rPr>
                  <m:t>CRC</m:t>
                </m:r>
              </m:sub>
            </m:sSub>
          </m:num>
          <m:den>
            <m:r>
              <w:rPr>
                <w:rFonts w:ascii="Cambria Math" w:eastAsia="MS Mincho" w:hAnsi="Cambria Math"/>
                <w:lang w:val="en-US" w:eastAsia="en-US"/>
              </w:rPr>
              <m:t>M</m:t>
            </m:r>
          </m:den>
        </m:f>
        <m:r>
          <w:rPr>
            <w:rFonts w:ascii="Cambria Math" w:eastAsia="MS Mincho" w:hAnsi="Cambria Math"/>
            <w:lang w:val="en-US" w:eastAsia="en-US"/>
          </w:rPr>
          <m:t xml:space="preserve"> </m:t>
        </m:r>
      </m:oMath>
    </w:p>
    <w:p w:rsidR="002E167A" w:rsidRDefault="002E167A" w:rsidP="002E167A">
      <w:pPr>
        <w:pStyle w:val="ListParagraph"/>
        <w:numPr>
          <w:ilvl w:val="0"/>
          <w:numId w:val="5"/>
        </w:numPr>
        <w:rPr>
          <w:rFonts w:eastAsia="MS Mincho"/>
          <w:lang w:val="en-US" w:eastAsia="en-US"/>
        </w:rPr>
      </w:pPr>
      <w:r>
        <w:rPr>
          <w:rFonts w:eastAsia="MS Mincho"/>
          <w:lang w:val="en-US" w:eastAsia="en-US"/>
        </w:rPr>
        <w:t>CRC polynomials is given by</w:t>
      </w:r>
      <w:r w:rsidR="00A47EEE">
        <w:rPr>
          <w:rFonts w:eastAsia="MS Mincho"/>
          <w:lang w:val="en-US" w:eastAsia="en-US"/>
        </w:rPr>
        <w:t xml:space="preserve"> </w:t>
      </w:r>
      <w:r w:rsidR="00A47EEE">
        <w:rPr>
          <w:rFonts w:eastAsia="MS Mincho"/>
          <w:lang w:val="en-US" w:eastAsia="en-US"/>
        </w:rPr>
        <w:fldChar w:fldCharType="begin"/>
      </w:r>
      <w:r w:rsidR="00A47EEE">
        <w:rPr>
          <w:rFonts w:eastAsia="MS Mincho"/>
          <w:lang w:val="en-US" w:eastAsia="en-US"/>
        </w:rPr>
        <w:instrText xml:space="preserve"> REF _Ref474159650 \r \h </w:instrText>
      </w:r>
      <w:r w:rsidR="00A47EEE">
        <w:rPr>
          <w:rFonts w:eastAsia="MS Mincho"/>
          <w:lang w:val="en-US" w:eastAsia="en-US"/>
        </w:rPr>
      </w:r>
      <w:r w:rsidR="00A47EEE">
        <w:rPr>
          <w:rFonts w:eastAsia="MS Mincho"/>
          <w:lang w:val="en-US" w:eastAsia="en-US"/>
        </w:rPr>
        <w:fldChar w:fldCharType="separate"/>
      </w:r>
      <w:r w:rsidR="00A47EEE">
        <w:rPr>
          <w:rFonts w:eastAsia="MS Mincho"/>
          <w:lang w:val="en-US" w:eastAsia="en-US"/>
        </w:rPr>
        <w:t>[3]</w:t>
      </w:r>
      <w:r w:rsidR="00A47EEE">
        <w:rPr>
          <w:rFonts w:eastAsia="MS Mincho"/>
          <w:lang w:val="en-US" w:eastAsia="en-US"/>
        </w:rPr>
        <w:fldChar w:fldCharType="end"/>
      </w:r>
      <w:r>
        <w:rPr>
          <w:rFonts w:eastAsia="MS Mincho"/>
          <w:lang w:val="en-US" w:eastAsia="en-US"/>
        </w:rPr>
        <w:t>:</w:t>
      </w:r>
    </w:p>
    <w:p w:rsidR="002E167A" w:rsidRDefault="002E167A" w:rsidP="002E167A">
      <w:pPr>
        <w:pStyle w:val="ListParagraph"/>
        <w:rPr>
          <w:rFonts w:eastAsia="MS Mincho"/>
          <w:lang w:val="en-US" w:eastAsia="en-US"/>
        </w:rPr>
      </w:pPr>
    </w:p>
    <w:p w:rsidR="002E167A" w:rsidRDefault="001E5C82" w:rsidP="002E167A">
      <w:pPr>
        <w:pStyle w:val="ListParagraph"/>
        <w:jc w:val="center"/>
        <w:rPr>
          <w:rFonts w:eastAsia="MS Mincho"/>
          <w:lang w:val="en-US" w:eastAsia="en-US"/>
        </w:rPr>
      </w:pPr>
      <m:oMath>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19</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16</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13</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12</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10</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8</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7</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m:t>
        </m:r>
        <m:sSup>
          <m:sSupPr>
            <m:ctrlPr>
              <w:rPr>
                <w:rFonts w:ascii="Cambria Math" w:eastAsia="MS Mincho" w:hAnsi="Cambria Math"/>
                <w:i/>
                <w:lang w:val="en-US" w:eastAsia="en-US"/>
              </w:rPr>
            </m:ctrlPr>
          </m:sSupPr>
          <m:e>
            <m:r>
              <w:rPr>
                <w:rFonts w:ascii="Cambria Math" w:eastAsia="MS Mincho" w:hAnsi="Cambria Math"/>
                <w:lang w:val="en-US" w:eastAsia="en-US"/>
              </w:rPr>
              <m:t>D</m:t>
            </m:r>
          </m:e>
          <m:sup>
            <m:r>
              <w:rPr>
                <w:rFonts w:ascii="Cambria Math" w:eastAsia="MS Mincho" w:hAnsi="Cambria Math"/>
                <w:lang w:val="en-US" w:eastAsia="en-US"/>
              </w:rPr>
              <m:t>4</m:t>
            </m:r>
          </m:sup>
        </m:sSup>
        <m:r>
          <w:rPr>
            <w:rFonts w:ascii="Cambria Math" w:eastAsia="MS Mincho" w:hAnsi="Cambria Math"/>
            <w:lang w:val="en-US" w:eastAsia="en-US"/>
          </w:rPr>
          <m:t>+1</m:t>
        </m:r>
      </m:oMath>
      <w:r w:rsidR="002E167A">
        <w:rPr>
          <w:rFonts w:eastAsia="MS Mincho"/>
          <w:lang w:val="en-US" w:eastAsia="en-US"/>
        </w:rPr>
        <w:t>.</w:t>
      </w:r>
    </w:p>
    <w:p w:rsidR="002E167A" w:rsidRDefault="002E167A" w:rsidP="002E167A">
      <w:pPr>
        <w:rPr>
          <w:rFonts w:eastAsia="MS Mincho"/>
          <w:lang w:val="en-US" w:eastAsia="en-US"/>
        </w:rPr>
      </w:pPr>
      <w:r>
        <w:rPr>
          <w:rFonts w:eastAsia="MS Mincho"/>
          <w:lang w:val="en-US" w:eastAsia="en-US"/>
        </w:rPr>
        <w:t>Modulation with:</w:t>
      </w:r>
    </w:p>
    <w:p w:rsidR="00953C89" w:rsidRDefault="004D073E" w:rsidP="00953C89">
      <w:pPr>
        <w:pStyle w:val="ListParagraph"/>
        <w:numPr>
          <w:ilvl w:val="0"/>
          <w:numId w:val="5"/>
        </w:numPr>
        <w:rPr>
          <w:rFonts w:eastAsia="MS Mincho"/>
          <w:lang w:val="en-US" w:eastAsia="en-US"/>
        </w:rPr>
      </w:pPr>
      <w:r>
        <w:rPr>
          <w:rFonts w:eastAsia="MS Mincho"/>
          <w:lang w:val="en-US" w:eastAsia="en-US"/>
        </w:rPr>
        <w:t xml:space="preserve">QPSK, </w:t>
      </w:r>
      <w:r w:rsidR="002E167A">
        <w:rPr>
          <w:rFonts w:eastAsia="MS Mincho"/>
          <w:lang w:val="en-US" w:eastAsia="en-US"/>
        </w:rPr>
        <w:t>16QAM, 64QAM</w:t>
      </w:r>
      <w:r w:rsidR="0010635D">
        <w:rPr>
          <w:rFonts w:eastAsia="MS Mincho"/>
          <w:lang w:val="en-US" w:eastAsia="en-US"/>
        </w:rPr>
        <w:t>, bit-labelling as given in Figure 1 and Figure 2.</w:t>
      </w:r>
    </w:p>
    <w:p w:rsidR="00953C89" w:rsidRPr="00953C89" w:rsidRDefault="00953C89" w:rsidP="00953C89">
      <w:pPr>
        <w:pStyle w:val="ListParagraph"/>
        <w:rPr>
          <w:rFonts w:eastAsia="MS Mincho"/>
          <w:lang w:val="en-US" w:eastAsia="en-US"/>
        </w:rPr>
      </w:pPr>
    </w:p>
    <w:p w:rsidR="002E167A" w:rsidRDefault="002E167A" w:rsidP="002E167A">
      <w:pPr>
        <w:pStyle w:val="Heading3"/>
        <w:numPr>
          <w:ilvl w:val="2"/>
          <w:numId w:val="8"/>
        </w:numPr>
        <w:textAlignment w:val="auto"/>
      </w:pPr>
      <w:r>
        <w:t>Results</w:t>
      </w:r>
    </w:p>
    <w:p w:rsidR="007B6F22" w:rsidRDefault="007B6F22" w:rsidP="00496B17">
      <w:r>
        <w:t>Simulation results according to above settings are sho</w:t>
      </w:r>
      <w:r w:rsidR="004910C9">
        <w:t>wn below in Figure 4 – Figure 6</w:t>
      </w:r>
      <w:r>
        <w:t>.</w:t>
      </w:r>
    </w:p>
    <w:p w:rsidR="00496B17" w:rsidRDefault="00496B17" w:rsidP="00496B17">
      <w:r w:rsidRPr="00496B17">
        <w:t>For QPSK, the different code bits do not experience BI-DMC of different qualities. All information bit ordering designs show very similar performance</w:t>
      </w:r>
      <w:r>
        <w:t>.</w:t>
      </w:r>
    </w:p>
    <w:p w:rsidR="00496B17" w:rsidRDefault="00496B17" w:rsidP="00496B17">
      <w:r w:rsidRPr="00496B17">
        <w:t xml:space="preserve">For higher modulation schemes, such as 16QAM and 64QAM, the different groups of code </w:t>
      </w:r>
      <w:proofErr w:type="gramStart"/>
      <w:r w:rsidR="007B6F22">
        <w:t>bits</w:t>
      </w:r>
      <w:proofErr w:type="gramEnd"/>
      <w:r w:rsidRPr="00496B17">
        <w:t xml:space="preserve"> experience BI-DMC of different qualities. The PW-sequence method and the DE-method cannot make advantage of this knowledge as they assume BI-DMC of identical qualities. The BER-method however </w:t>
      </w:r>
      <w:r w:rsidR="000A3CCA">
        <w:t>takes into</w:t>
      </w:r>
      <w:r w:rsidRPr="00496B17">
        <w:t xml:space="preserve"> </w:t>
      </w:r>
      <w:r w:rsidR="000A3CCA">
        <w:t xml:space="preserve">account </w:t>
      </w:r>
      <w:r w:rsidRPr="00496B17">
        <w:t>this fact and outperforms the other two methods.</w:t>
      </w:r>
      <w:r w:rsidR="0049684E">
        <w:t xml:space="preserve">  The performance gain tends to be more significant at low code rates.</w:t>
      </w:r>
    </w:p>
    <w:p w:rsidR="004910C9" w:rsidRDefault="004910C9" w:rsidP="00496B17">
      <w:r>
        <w:t>In summary, we have the following observations</w:t>
      </w:r>
      <w:r w:rsidR="008F1129">
        <w:t>.</w:t>
      </w:r>
    </w:p>
    <w:p w:rsidR="007B6F22" w:rsidRPr="00496B17" w:rsidRDefault="007B6F22" w:rsidP="00496B17"/>
    <w:p w:rsidR="007B6F22" w:rsidRPr="001E3C19" w:rsidRDefault="007B6F22" w:rsidP="007B6F22">
      <w:pPr>
        <w:pStyle w:val="Proposal"/>
        <w:numPr>
          <w:ilvl w:val="0"/>
          <w:numId w:val="15"/>
        </w:numPr>
        <w:tabs>
          <w:tab w:val="clear" w:pos="1701"/>
        </w:tabs>
        <w:ind w:left="1701" w:hanging="1701"/>
        <w:rPr>
          <w:rFonts w:ascii="Arial" w:hAnsi="Arial"/>
        </w:rPr>
      </w:pPr>
      <w:r>
        <w:rPr>
          <w:rFonts w:ascii="Arial" w:hAnsi="Arial"/>
        </w:rPr>
        <w:t>For QPSK,</w:t>
      </w:r>
      <w:r w:rsidR="00AC540D">
        <w:rPr>
          <w:rFonts w:ascii="Arial" w:hAnsi="Arial"/>
        </w:rPr>
        <w:t xml:space="preserve"> a</w:t>
      </w:r>
      <w:r>
        <w:rPr>
          <w:rFonts w:ascii="Arial" w:hAnsi="Arial"/>
        </w:rPr>
        <w:t>ll information bit ordering designs show very similar performance</w:t>
      </w:r>
      <m:oMath>
        <m:r>
          <m:rPr>
            <m:sty m:val="b"/>
          </m:rPr>
          <w:rPr>
            <w:rFonts w:ascii="Cambria Math" w:hAnsi="Cambria Math"/>
          </w:rPr>
          <m:t>.</m:t>
        </m:r>
      </m:oMath>
      <w:r w:rsidRPr="001E3C19">
        <w:rPr>
          <w:rFonts w:ascii="Arial" w:hAnsi="Arial"/>
        </w:rPr>
        <w:t xml:space="preserve">  </w:t>
      </w:r>
    </w:p>
    <w:p w:rsidR="007B6F22" w:rsidRDefault="007B6F22" w:rsidP="007B6F22">
      <w:pPr>
        <w:pStyle w:val="Proposal"/>
        <w:numPr>
          <w:ilvl w:val="0"/>
          <w:numId w:val="15"/>
        </w:numPr>
        <w:tabs>
          <w:tab w:val="clear" w:pos="1701"/>
        </w:tabs>
        <w:ind w:left="1701" w:hanging="1701"/>
        <w:rPr>
          <w:rFonts w:ascii="Arial" w:eastAsia="MS Mincho" w:hAnsi="Arial" w:cs="Arial"/>
        </w:rPr>
      </w:pPr>
      <w:r>
        <w:rPr>
          <w:rFonts w:ascii="Arial" w:hAnsi="Arial"/>
        </w:rPr>
        <w:t>For higher modulation schemes, such as 16QAM and 64QAM, info-set generation methods that account for the different bit reliability levels within a modulation symbol tend to outperform those that do not, especially at low coding rates.</w:t>
      </w:r>
    </w:p>
    <w:p w:rsidR="007B6F22" w:rsidRDefault="007B6F22" w:rsidP="007B6F22">
      <w:pPr>
        <w:pStyle w:val="BodyText"/>
      </w:pPr>
    </w:p>
    <w:p w:rsidR="007B6F22" w:rsidRDefault="007B6F22" w:rsidP="007B6F22">
      <w:pPr>
        <w:pStyle w:val="Proposal"/>
        <w:numPr>
          <w:ilvl w:val="0"/>
          <w:numId w:val="6"/>
        </w:numPr>
        <w:tabs>
          <w:tab w:val="clear" w:pos="1701"/>
        </w:tabs>
        <w:rPr>
          <w:rFonts w:ascii="Arial" w:eastAsia="MS Mincho" w:hAnsi="Arial" w:cs="Arial"/>
        </w:rPr>
      </w:pPr>
      <w:r w:rsidRPr="00A25684">
        <w:rPr>
          <w:rFonts w:ascii="Arial" w:eastAsia="MS Mincho" w:hAnsi="Arial" w:cs="Arial"/>
        </w:rPr>
        <w:t>The information set design method should</w:t>
      </w:r>
      <w:r>
        <w:rPr>
          <w:rFonts w:ascii="Arial" w:eastAsia="MS Mincho" w:hAnsi="Arial" w:cs="Arial"/>
        </w:rPr>
        <w:t xml:space="preserve"> consider </w:t>
      </w:r>
      <w:r w:rsidRPr="00A25684">
        <w:rPr>
          <w:rFonts w:ascii="Arial" w:eastAsia="MS Mincho" w:hAnsi="Arial" w:cs="Arial"/>
        </w:rPr>
        <w:t>the different bit reliability levels within a modulation symbol when using higher modulation schemes.</w:t>
      </w:r>
    </w:p>
    <w:p w:rsidR="007B6F22" w:rsidRPr="00A25684" w:rsidRDefault="00AC013C" w:rsidP="007B6F22">
      <w:pPr>
        <w:pStyle w:val="Proposal"/>
        <w:numPr>
          <w:ilvl w:val="0"/>
          <w:numId w:val="6"/>
        </w:numPr>
        <w:rPr>
          <w:rFonts w:ascii="Arial" w:eastAsia="MS Mincho" w:hAnsi="Arial" w:cs="Arial"/>
        </w:rPr>
      </w:pPr>
      <w:r w:rsidRPr="00A25684">
        <w:rPr>
          <w:rFonts w:ascii="Arial" w:eastAsia="MS Mincho" w:hAnsi="Arial" w:cs="Arial"/>
        </w:rPr>
        <w:t xml:space="preserve">Further study </w:t>
      </w:r>
      <w:r>
        <w:rPr>
          <w:rFonts w:ascii="Arial" w:eastAsia="MS Mincho" w:hAnsi="Arial" w:cs="Arial"/>
        </w:rPr>
        <w:t>Polar code design</w:t>
      </w:r>
      <w:r w:rsidRPr="00A25684">
        <w:rPr>
          <w:rFonts w:ascii="Arial" w:eastAsia="MS Mincho" w:hAnsi="Arial" w:cs="Arial"/>
        </w:rPr>
        <w:t xml:space="preserve"> for higher modulation schemes</w:t>
      </w:r>
      <w:r w:rsidR="007B6F22" w:rsidRPr="00A25684">
        <w:rPr>
          <w:rFonts w:ascii="Arial" w:eastAsia="MS Mincho" w:hAnsi="Arial" w:cs="Arial"/>
        </w:rPr>
        <w:t>.</w:t>
      </w:r>
    </w:p>
    <w:p w:rsidR="00496B17" w:rsidRPr="00496B17" w:rsidRDefault="00496B17" w:rsidP="00496B17"/>
    <w:p w:rsidR="00E00981" w:rsidRDefault="006809D7" w:rsidP="00E00981">
      <w:r w:rsidRPr="006809D7">
        <w:rPr>
          <w:noProof/>
          <w:lang w:val="en-US"/>
        </w:rPr>
        <w:drawing>
          <wp:inline distT="0" distB="0" distL="0" distR="0" wp14:anchorId="0954F93B" wp14:editId="1BEA083B">
            <wp:extent cx="5943600" cy="3560805"/>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560805"/>
                    </a:xfrm>
                    <a:prstGeom prst="rect">
                      <a:avLst/>
                    </a:prstGeom>
                    <a:noFill/>
                    <a:ln>
                      <a:noFill/>
                    </a:ln>
                  </pic:spPr>
                </pic:pic>
              </a:graphicData>
            </a:graphic>
          </wp:inline>
        </w:drawing>
      </w:r>
    </w:p>
    <w:p w:rsidR="00342DFB" w:rsidRDefault="00342DFB" w:rsidP="00342DFB">
      <w:pPr>
        <w:pStyle w:val="Caption"/>
      </w:pPr>
      <w:r>
        <w:t>Figure 4. Performance of different information set designs for AWGN channel with QPSK</w:t>
      </w:r>
    </w:p>
    <w:p w:rsidR="00342DFB" w:rsidRPr="00E00981" w:rsidRDefault="00342DFB" w:rsidP="00E00981"/>
    <w:p w:rsidR="002E167A" w:rsidRDefault="00AC7178" w:rsidP="002E167A">
      <w:pPr>
        <w:overflowPunct/>
        <w:autoSpaceDE/>
        <w:autoSpaceDN/>
        <w:adjustRightInd/>
        <w:spacing w:after="0"/>
        <w:jc w:val="left"/>
        <w:textAlignment w:val="auto"/>
        <w:rPr>
          <w:rFonts w:ascii="Arial" w:hAnsi="Arial"/>
          <w:b/>
          <w:bCs/>
        </w:rPr>
      </w:pPr>
      <w:r w:rsidRPr="00A44443">
        <w:rPr>
          <w:noProof/>
          <w:lang w:val="en-US"/>
        </w:rPr>
        <w:lastRenderedPageBreak/>
        <w:drawing>
          <wp:inline distT="0" distB="0" distL="0" distR="0" wp14:anchorId="379B85A7" wp14:editId="646333AE">
            <wp:extent cx="5943600" cy="356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560445"/>
                    </a:xfrm>
                    <a:prstGeom prst="rect">
                      <a:avLst/>
                    </a:prstGeom>
                    <a:noFill/>
                    <a:ln>
                      <a:noFill/>
                    </a:ln>
                  </pic:spPr>
                </pic:pic>
              </a:graphicData>
            </a:graphic>
          </wp:inline>
        </w:drawing>
      </w:r>
    </w:p>
    <w:p w:rsidR="00342DFB" w:rsidRDefault="00342DFB" w:rsidP="00342DFB">
      <w:pPr>
        <w:pStyle w:val="Caption"/>
      </w:pPr>
      <w:r>
        <w:t>Figure 5. Performance of different information set designs for AWGN channel with 16QAM</w:t>
      </w:r>
    </w:p>
    <w:p w:rsidR="00342DFB" w:rsidRDefault="00342DFB" w:rsidP="002E167A">
      <w:pPr>
        <w:overflowPunct/>
        <w:autoSpaceDE/>
        <w:autoSpaceDN/>
        <w:adjustRightInd/>
        <w:spacing w:after="0"/>
        <w:jc w:val="left"/>
        <w:textAlignment w:val="auto"/>
        <w:rPr>
          <w:rFonts w:ascii="Arial" w:hAnsi="Arial"/>
          <w:b/>
          <w:bCs/>
        </w:rPr>
      </w:pPr>
    </w:p>
    <w:p w:rsidR="00AE45DD" w:rsidRDefault="0094436F" w:rsidP="002E167A">
      <w:pPr>
        <w:overflowPunct/>
        <w:autoSpaceDE/>
        <w:autoSpaceDN/>
        <w:adjustRightInd/>
        <w:spacing w:after="0"/>
        <w:jc w:val="left"/>
        <w:textAlignment w:val="auto"/>
        <w:rPr>
          <w:rFonts w:ascii="Arial" w:hAnsi="Arial"/>
          <w:b/>
          <w:bCs/>
        </w:rPr>
      </w:pPr>
      <w:r w:rsidRPr="000E06C2">
        <w:rPr>
          <w:rFonts w:ascii="Arial" w:hAnsi="Arial"/>
          <w:b/>
          <w:bCs/>
          <w:noProof/>
          <w:lang w:val="en-US"/>
        </w:rPr>
        <w:drawing>
          <wp:inline distT="0" distB="0" distL="0" distR="0" wp14:anchorId="4FC3E817" wp14:editId="29ABACB3">
            <wp:extent cx="5943600" cy="35604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3560445"/>
                    </a:xfrm>
                    <a:prstGeom prst="rect">
                      <a:avLst/>
                    </a:prstGeom>
                    <a:noFill/>
                    <a:ln>
                      <a:noFill/>
                    </a:ln>
                  </pic:spPr>
                </pic:pic>
              </a:graphicData>
            </a:graphic>
          </wp:inline>
        </w:drawing>
      </w:r>
    </w:p>
    <w:p w:rsidR="00342DFB" w:rsidRDefault="00342DFB" w:rsidP="00342DFB">
      <w:pPr>
        <w:pStyle w:val="Caption"/>
      </w:pPr>
      <w:r>
        <w:t xml:space="preserve">Figure 6. Performance of different information set </w:t>
      </w:r>
      <w:r w:rsidR="001C292F">
        <w:t xml:space="preserve">designs for </w:t>
      </w:r>
      <w:r>
        <w:t>AWGN channel with 64QAM</w:t>
      </w:r>
    </w:p>
    <w:p w:rsidR="00342DFB" w:rsidRPr="00342DFB" w:rsidRDefault="00342DFB" w:rsidP="00342DFB"/>
    <w:p w:rsidR="00342DFB" w:rsidRDefault="00342DFB" w:rsidP="002E167A">
      <w:pPr>
        <w:overflowPunct/>
        <w:autoSpaceDE/>
        <w:autoSpaceDN/>
        <w:adjustRightInd/>
        <w:spacing w:after="0"/>
        <w:jc w:val="left"/>
        <w:textAlignment w:val="auto"/>
        <w:rPr>
          <w:rFonts w:ascii="Arial" w:hAnsi="Arial"/>
          <w:b/>
          <w:bCs/>
        </w:rPr>
      </w:pPr>
    </w:p>
    <w:bookmarkEnd w:id="4"/>
    <w:p w:rsidR="00F4189B" w:rsidRPr="00CE0424" w:rsidRDefault="00F4189B" w:rsidP="00F4189B">
      <w:pPr>
        <w:pStyle w:val="Heading1"/>
      </w:pPr>
      <w:r w:rsidRPr="00CE0424">
        <w:t>Conclusion</w:t>
      </w:r>
      <w:r>
        <w:t>s</w:t>
      </w:r>
    </w:p>
    <w:p w:rsidR="00374468" w:rsidRDefault="00374468" w:rsidP="00374468">
      <w:pPr>
        <w:pStyle w:val="BodyText"/>
      </w:pPr>
      <w:r>
        <w:t>In this contribution we studied the impact of information bit ordering sequence when higher order modulation is used. Based on the simulation results, we made the following observations and proposals</w:t>
      </w:r>
      <w:r w:rsidRPr="00CE0424">
        <w:t>:</w:t>
      </w:r>
    </w:p>
    <w:p w:rsidR="00374468" w:rsidRDefault="00374468" w:rsidP="00374468">
      <w:pPr>
        <w:pStyle w:val="BodyText"/>
      </w:pPr>
    </w:p>
    <w:p w:rsidR="00D802E2" w:rsidRPr="001E3C19" w:rsidRDefault="00D802E2" w:rsidP="00D802E2">
      <w:pPr>
        <w:pStyle w:val="Proposal"/>
        <w:numPr>
          <w:ilvl w:val="0"/>
          <w:numId w:val="20"/>
        </w:numPr>
        <w:tabs>
          <w:tab w:val="clear" w:pos="1701"/>
        </w:tabs>
        <w:ind w:left="1701" w:hanging="1701"/>
        <w:rPr>
          <w:rFonts w:ascii="Arial" w:hAnsi="Arial"/>
        </w:rPr>
      </w:pPr>
      <w:r>
        <w:rPr>
          <w:rFonts w:ascii="Arial" w:hAnsi="Arial"/>
        </w:rPr>
        <w:t>For QPSK, all information bit ordering designs show very similar performance</w:t>
      </w:r>
      <m:oMath>
        <m:r>
          <m:rPr>
            <m:sty m:val="b"/>
          </m:rPr>
          <w:rPr>
            <w:rFonts w:ascii="Cambria Math" w:hAnsi="Cambria Math"/>
          </w:rPr>
          <m:t>.</m:t>
        </m:r>
      </m:oMath>
      <w:r w:rsidRPr="001E3C19">
        <w:rPr>
          <w:rFonts w:ascii="Arial" w:hAnsi="Arial"/>
        </w:rPr>
        <w:t xml:space="preserve">  </w:t>
      </w:r>
    </w:p>
    <w:p w:rsidR="00D802E2" w:rsidRDefault="00D802E2" w:rsidP="00D802E2">
      <w:pPr>
        <w:pStyle w:val="Proposal"/>
        <w:numPr>
          <w:ilvl w:val="0"/>
          <w:numId w:val="20"/>
        </w:numPr>
        <w:tabs>
          <w:tab w:val="clear" w:pos="1701"/>
        </w:tabs>
        <w:ind w:left="1701" w:hanging="1701"/>
        <w:rPr>
          <w:rFonts w:ascii="Arial" w:eastAsia="MS Mincho" w:hAnsi="Arial" w:cs="Arial"/>
        </w:rPr>
      </w:pPr>
      <w:r>
        <w:rPr>
          <w:rFonts w:ascii="Arial" w:hAnsi="Arial"/>
        </w:rPr>
        <w:t>For higher modulation schemes, such as 16QAM and 64QAM, info-set generation methods that account for the different bit reliability levels within a modulation symbol tend to outperform those that do not, especially at low coding rates.</w:t>
      </w:r>
    </w:p>
    <w:p w:rsidR="00A70C11" w:rsidRDefault="00A70C11" w:rsidP="00F4189B">
      <w:pPr>
        <w:pStyle w:val="BodyText"/>
      </w:pPr>
    </w:p>
    <w:p w:rsidR="00F4189B" w:rsidRPr="00374468" w:rsidRDefault="00F4189B" w:rsidP="00374468">
      <w:pPr>
        <w:pStyle w:val="Proposal"/>
        <w:numPr>
          <w:ilvl w:val="0"/>
          <w:numId w:val="19"/>
        </w:numPr>
        <w:tabs>
          <w:tab w:val="clear" w:pos="1701"/>
        </w:tabs>
        <w:rPr>
          <w:rFonts w:ascii="Arial" w:eastAsia="MS Mincho" w:hAnsi="Arial" w:cs="Arial"/>
        </w:rPr>
      </w:pPr>
      <w:r w:rsidRPr="00374468">
        <w:rPr>
          <w:rFonts w:ascii="Arial" w:eastAsia="MS Mincho" w:hAnsi="Arial" w:cs="Arial"/>
        </w:rPr>
        <w:t>The information set design method should</w:t>
      </w:r>
      <w:r w:rsidR="00014E5C" w:rsidRPr="00374468">
        <w:rPr>
          <w:rFonts w:ascii="Arial" w:eastAsia="MS Mincho" w:hAnsi="Arial" w:cs="Arial"/>
        </w:rPr>
        <w:t xml:space="preserve"> consider </w:t>
      </w:r>
      <w:r w:rsidRPr="00374468">
        <w:rPr>
          <w:rFonts w:ascii="Arial" w:eastAsia="MS Mincho" w:hAnsi="Arial" w:cs="Arial"/>
        </w:rPr>
        <w:t>the different bit reliability levels within a modulation symbol when using higher modulation schemes.</w:t>
      </w:r>
    </w:p>
    <w:p w:rsidR="00A25684" w:rsidRPr="00A25684" w:rsidRDefault="00A25684" w:rsidP="00A25684">
      <w:pPr>
        <w:pStyle w:val="Proposal"/>
        <w:numPr>
          <w:ilvl w:val="0"/>
          <w:numId w:val="6"/>
        </w:numPr>
        <w:rPr>
          <w:rFonts w:ascii="Arial" w:eastAsia="MS Mincho" w:hAnsi="Arial" w:cs="Arial"/>
        </w:rPr>
      </w:pPr>
      <w:r w:rsidRPr="00A25684">
        <w:rPr>
          <w:rFonts w:ascii="Arial" w:eastAsia="MS Mincho" w:hAnsi="Arial" w:cs="Arial"/>
        </w:rPr>
        <w:t xml:space="preserve">Further study </w:t>
      </w:r>
      <w:r w:rsidR="005D44F7">
        <w:rPr>
          <w:rFonts w:ascii="Arial" w:eastAsia="MS Mincho" w:hAnsi="Arial" w:cs="Arial"/>
        </w:rPr>
        <w:t>Polar code</w:t>
      </w:r>
      <w:r w:rsidR="00DA7A4E">
        <w:rPr>
          <w:rFonts w:ascii="Arial" w:eastAsia="MS Mincho" w:hAnsi="Arial" w:cs="Arial"/>
        </w:rPr>
        <w:t xml:space="preserve"> design</w:t>
      </w:r>
      <w:r w:rsidRPr="00A25684">
        <w:rPr>
          <w:rFonts w:ascii="Arial" w:eastAsia="MS Mincho" w:hAnsi="Arial" w:cs="Arial"/>
        </w:rPr>
        <w:t xml:space="preserve"> for higher modulation schemes.</w:t>
      </w:r>
    </w:p>
    <w:p w:rsidR="00F4189B" w:rsidRPr="00874576" w:rsidRDefault="00F4189B" w:rsidP="00F4189B">
      <w:pPr>
        <w:pStyle w:val="Proposal"/>
        <w:numPr>
          <w:ilvl w:val="0"/>
          <w:numId w:val="0"/>
        </w:numPr>
        <w:tabs>
          <w:tab w:val="clear" w:pos="1701"/>
        </w:tabs>
        <w:ind w:left="1304"/>
        <w:rPr>
          <w:rFonts w:eastAsia="MS Mincho"/>
        </w:rPr>
      </w:pPr>
    </w:p>
    <w:p w:rsidR="002E167A" w:rsidRDefault="002E167A" w:rsidP="002E167A">
      <w:pPr>
        <w:pStyle w:val="BodyText"/>
      </w:pPr>
    </w:p>
    <w:p w:rsidR="002E167A" w:rsidRDefault="002E167A" w:rsidP="002E167A">
      <w:pPr>
        <w:pStyle w:val="Heading1"/>
        <w:numPr>
          <w:ilvl w:val="0"/>
          <w:numId w:val="8"/>
        </w:numPr>
        <w:textAlignment w:val="auto"/>
      </w:pPr>
      <w:bookmarkStart w:id="5" w:name="_In-sequence_SDU_delivery"/>
      <w:bookmarkEnd w:id="5"/>
      <w:r>
        <w:t>References</w:t>
      </w:r>
    </w:p>
    <w:p w:rsidR="002E167A" w:rsidRDefault="002E167A" w:rsidP="002E167A">
      <w:pPr>
        <w:pStyle w:val="Reference"/>
        <w:numPr>
          <w:ilvl w:val="0"/>
          <w:numId w:val="9"/>
        </w:numPr>
        <w:textAlignment w:val="auto"/>
      </w:pPr>
      <w:bookmarkStart w:id="6" w:name="_Ref477259858"/>
      <w:bookmarkStart w:id="7" w:name="_Ref473550504"/>
      <w:bookmarkStart w:id="8" w:name="_Ref477861233"/>
      <w:r>
        <w:t xml:space="preserve">R1-1611254, “Details of the Polar code design”, Huawei, </w:t>
      </w:r>
      <w:proofErr w:type="spellStart"/>
      <w:r>
        <w:t>HiSilicon</w:t>
      </w:r>
      <w:proofErr w:type="spellEnd"/>
      <w:r>
        <w:t>, Reno, USA, November 10</w:t>
      </w:r>
      <w:r>
        <w:rPr>
          <w:vertAlign w:val="superscript"/>
        </w:rPr>
        <w:t>th</w:t>
      </w:r>
      <w:r>
        <w:t xml:space="preserve"> – 14</w:t>
      </w:r>
      <w:r>
        <w:rPr>
          <w:vertAlign w:val="superscript"/>
        </w:rPr>
        <w:t>th</w:t>
      </w:r>
      <w:r>
        <w:t>, 2016</w:t>
      </w:r>
      <w:bookmarkEnd w:id="6"/>
      <w:bookmarkEnd w:id="7"/>
      <w:bookmarkEnd w:id="8"/>
    </w:p>
    <w:p w:rsidR="00967BFC" w:rsidRDefault="00967BFC" w:rsidP="00AF76BF">
      <w:pPr>
        <w:pStyle w:val="Reference"/>
        <w:numPr>
          <w:ilvl w:val="0"/>
          <w:numId w:val="9"/>
        </w:numPr>
        <w:textAlignment w:val="auto"/>
      </w:pPr>
      <w:bookmarkStart w:id="9" w:name="_Ref481770668"/>
      <w:r>
        <w:t xml:space="preserve">“Modern Coding Theory”, T. Richardson and R. </w:t>
      </w:r>
      <w:proofErr w:type="spellStart"/>
      <w:r>
        <w:t>Urbanke</w:t>
      </w:r>
      <w:proofErr w:type="spellEnd"/>
      <w:r w:rsidR="00AF76BF">
        <w:t xml:space="preserve">, </w:t>
      </w:r>
      <w:r w:rsidR="00AF76BF" w:rsidRPr="00AF76BF">
        <w:t>http://vladimirbozovic.net/univerzitet/wp-content/uploads/2010/11/Modern-Coding-Theory.pdf</w:t>
      </w:r>
      <w:r w:rsidR="009B1616">
        <w:t>.</w:t>
      </w:r>
      <w:bookmarkEnd w:id="9"/>
    </w:p>
    <w:p w:rsidR="008E25D6" w:rsidRDefault="008E25D6" w:rsidP="008E25D6">
      <w:pPr>
        <w:pStyle w:val="Reference"/>
        <w:numPr>
          <w:ilvl w:val="0"/>
          <w:numId w:val="9"/>
        </w:numPr>
      </w:pPr>
      <w:bookmarkStart w:id="10" w:name="_Ref474159650"/>
      <w:r>
        <w:t xml:space="preserve">Philip </w:t>
      </w:r>
      <w:proofErr w:type="spellStart"/>
      <w:r>
        <w:t>Koopman</w:t>
      </w:r>
      <w:proofErr w:type="spellEnd"/>
      <w:r>
        <w:t xml:space="preserve">, “CRC Hamming Weight Data, </w:t>
      </w:r>
      <w:hyperlink r:id="rId13" w:history="1">
        <w:r>
          <w:rPr>
            <w:rStyle w:val="Hyperlink"/>
          </w:rPr>
          <w:t>https://users.ece.cmu.edu/~koopman/crc/hw_data.html</w:t>
        </w:r>
      </w:hyperlink>
      <w:r>
        <w:t>.</w:t>
      </w:r>
      <w:bookmarkEnd w:id="10"/>
    </w:p>
    <w:p w:rsidR="00967BFC" w:rsidRDefault="00967BFC" w:rsidP="00967BFC">
      <w:pPr>
        <w:pStyle w:val="Reference"/>
        <w:numPr>
          <w:ilvl w:val="0"/>
          <w:numId w:val="0"/>
        </w:numPr>
        <w:ind w:left="567"/>
        <w:textAlignment w:val="auto"/>
      </w:pPr>
    </w:p>
    <w:p w:rsidR="002E167A" w:rsidRDefault="002E167A" w:rsidP="00AF76BF">
      <w:pPr>
        <w:pStyle w:val="Reference"/>
        <w:numPr>
          <w:ilvl w:val="0"/>
          <w:numId w:val="0"/>
        </w:numPr>
        <w:ind w:left="567"/>
        <w:jc w:val="left"/>
      </w:pPr>
    </w:p>
    <w:p w:rsidR="002E167A" w:rsidRPr="00350BA1" w:rsidRDefault="002E167A" w:rsidP="002E167A"/>
    <w:p w:rsidR="002E167A" w:rsidRDefault="002E167A" w:rsidP="002E167A"/>
    <w:p w:rsidR="002E167A" w:rsidRDefault="002E167A" w:rsidP="002E167A"/>
    <w:p w:rsidR="00A4302F" w:rsidRDefault="00A4302F"/>
    <w:sectPr w:rsidR="00A4302F" w:rsidSect="00C02A4C">
      <w:headerReference w:type="even" r:id="rId14"/>
      <w:footerReference w:type="default" r:id="rId1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5C82" w:rsidRDefault="001E5C82" w:rsidP="003C384B">
      <w:pPr>
        <w:spacing w:after="0"/>
      </w:pPr>
      <w:r>
        <w:separator/>
      </w:r>
    </w:p>
  </w:endnote>
  <w:endnote w:type="continuationSeparator" w:id="0">
    <w:p w:rsidR="001E5C82" w:rsidRDefault="001E5C82" w:rsidP="003C38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DD" w:rsidRDefault="005857B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313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3134">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5C82" w:rsidRDefault="001E5C82" w:rsidP="003C384B">
      <w:pPr>
        <w:spacing w:after="0"/>
      </w:pPr>
      <w:r>
        <w:separator/>
      </w:r>
    </w:p>
  </w:footnote>
  <w:footnote w:type="continuationSeparator" w:id="0">
    <w:p w:rsidR="001E5C82" w:rsidRDefault="001E5C82" w:rsidP="003C38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4FDD" w:rsidRDefault="005857B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DF2B6C"/>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2" w15:restartNumberingAfterBreak="0">
    <w:nsid w:val="1DB8538A"/>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3" w15:restartNumberingAfterBreak="0">
    <w:nsid w:val="1F8910D6"/>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4" w15:restartNumberingAfterBreak="0">
    <w:nsid w:val="32D0030E"/>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5" w15:restartNumberingAfterBreak="0">
    <w:nsid w:val="3AA46647"/>
    <w:multiLevelType w:val="hybridMultilevel"/>
    <w:tmpl w:val="9924A99A"/>
    <w:lvl w:ilvl="0" w:tplc="955ED9D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686DE3"/>
    <w:multiLevelType w:val="hybridMultilevel"/>
    <w:tmpl w:val="7E342ECA"/>
    <w:lvl w:ilvl="0" w:tplc="8B7EF7DC">
      <w:start w:val="1"/>
      <w:numFmt w:val="decimal"/>
      <w:lvlText w:val="Observation %1"/>
      <w:lvlJc w:val="left"/>
      <w:pPr>
        <w:tabs>
          <w:tab w:val="num" w:pos="5174"/>
        </w:tabs>
        <w:ind w:left="5174" w:hanging="1304"/>
      </w:pPr>
      <w:rPr>
        <w:rFonts w:hint="default"/>
        <w:lang w:val="en-GB"/>
      </w:rPr>
    </w:lvl>
    <w:lvl w:ilvl="1" w:tplc="04090019">
      <w:start w:val="1"/>
      <w:numFmt w:val="lowerLetter"/>
      <w:lvlText w:val="%2."/>
      <w:lvlJc w:val="left"/>
      <w:pPr>
        <w:tabs>
          <w:tab w:val="num" w:pos="10920"/>
        </w:tabs>
        <w:ind w:left="10920" w:hanging="360"/>
      </w:pPr>
    </w:lvl>
    <w:lvl w:ilvl="2" w:tplc="0409001B">
      <w:start w:val="1"/>
      <w:numFmt w:val="lowerRoman"/>
      <w:lvlText w:val="%3."/>
      <w:lvlJc w:val="right"/>
      <w:pPr>
        <w:tabs>
          <w:tab w:val="num" w:pos="11640"/>
        </w:tabs>
        <w:ind w:left="11640" w:hanging="180"/>
      </w:pPr>
    </w:lvl>
    <w:lvl w:ilvl="3" w:tplc="0409000F" w:tentative="1">
      <w:start w:val="1"/>
      <w:numFmt w:val="decimal"/>
      <w:lvlText w:val="%4."/>
      <w:lvlJc w:val="left"/>
      <w:pPr>
        <w:tabs>
          <w:tab w:val="num" w:pos="12360"/>
        </w:tabs>
        <w:ind w:left="12360" w:hanging="360"/>
      </w:pPr>
    </w:lvl>
    <w:lvl w:ilvl="4" w:tplc="04090019" w:tentative="1">
      <w:start w:val="1"/>
      <w:numFmt w:val="lowerLetter"/>
      <w:lvlText w:val="%5."/>
      <w:lvlJc w:val="left"/>
      <w:pPr>
        <w:tabs>
          <w:tab w:val="num" w:pos="13080"/>
        </w:tabs>
        <w:ind w:left="13080" w:hanging="360"/>
      </w:pPr>
    </w:lvl>
    <w:lvl w:ilvl="5" w:tplc="0409001B" w:tentative="1">
      <w:start w:val="1"/>
      <w:numFmt w:val="lowerRoman"/>
      <w:lvlText w:val="%6."/>
      <w:lvlJc w:val="right"/>
      <w:pPr>
        <w:tabs>
          <w:tab w:val="num" w:pos="13800"/>
        </w:tabs>
        <w:ind w:left="13800" w:hanging="180"/>
      </w:pPr>
    </w:lvl>
    <w:lvl w:ilvl="6" w:tplc="0409000F" w:tentative="1">
      <w:start w:val="1"/>
      <w:numFmt w:val="decimal"/>
      <w:lvlText w:val="%7."/>
      <w:lvlJc w:val="left"/>
      <w:pPr>
        <w:tabs>
          <w:tab w:val="num" w:pos="14520"/>
        </w:tabs>
        <w:ind w:left="14520" w:hanging="360"/>
      </w:pPr>
    </w:lvl>
    <w:lvl w:ilvl="7" w:tplc="04090019" w:tentative="1">
      <w:start w:val="1"/>
      <w:numFmt w:val="lowerLetter"/>
      <w:lvlText w:val="%8."/>
      <w:lvlJc w:val="left"/>
      <w:pPr>
        <w:tabs>
          <w:tab w:val="num" w:pos="15240"/>
        </w:tabs>
        <w:ind w:left="15240" w:hanging="360"/>
      </w:pPr>
    </w:lvl>
    <w:lvl w:ilvl="8" w:tplc="0409001B" w:tentative="1">
      <w:start w:val="1"/>
      <w:numFmt w:val="lowerRoman"/>
      <w:lvlText w:val="%9."/>
      <w:lvlJc w:val="right"/>
      <w:pPr>
        <w:tabs>
          <w:tab w:val="num" w:pos="15960"/>
        </w:tabs>
        <w:ind w:left="15960" w:hanging="180"/>
      </w:pPr>
    </w:lvl>
  </w:abstractNum>
  <w:abstractNum w:abstractNumId="8" w15:restartNumberingAfterBreak="0">
    <w:nsid w:val="59CE6AE5"/>
    <w:multiLevelType w:val="hybridMultilevel"/>
    <w:tmpl w:val="37F8B4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706A60D6"/>
    <w:multiLevelType w:val="hybridMultilevel"/>
    <w:tmpl w:val="95B82BAC"/>
    <w:lvl w:ilvl="0" w:tplc="EE40D666">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B6C22"/>
    <w:multiLevelType w:val="hybridMultilevel"/>
    <w:tmpl w:val="362A6C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9C37C77"/>
    <w:multiLevelType w:val="hybridMultilevel"/>
    <w:tmpl w:val="CE58A0F4"/>
    <w:lvl w:ilvl="0" w:tplc="725CBE36">
      <w:numFmt w:val="bullet"/>
      <w:lvlText w:val=""/>
      <w:lvlJc w:val="left"/>
      <w:pPr>
        <w:ind w:left="720" w:hanging="360"/>
      </w:pPr>
      <w:rPr>
        <w:rFonts w:ascii="Symbol" w:eastAsia="MS Mincho"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9"/>
  </w:num>
  <w:num w:numId="5">
    <w:abstractNumId w:val="8"/>
  </w:num>
  <w:num w:numId="6">
    <w:abstractNumId w:val="5"/>
    <w:lvlOverride w:ilvl="0">
      <w:startOverride w:val="1"/>
    </w:lvlOverride>
  </w:num>
  <w:num w:numId="7">
    <w:abstractNumId w:val="1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4"/>
  </w:num>
  <w:num w:numId="13">
    <w:abstractNumId w:val="1"/>
  </w:num>
  <w:num w:numId="14">
    <w:abstractNumId w:val="5"/>
  </w:num>
  <w:num w:numId="15">
    <w:abstractNumId w:val="7"/>
  </w:num>
  <w:num w:numId="16">
    <w:abstractNumId w:val="5"/>
  </w:num>
  <w:num w:numId="17">
    <w:abstractNumId w:val="3"/>
  </w:num>
  <w:num w:numId="18">
    <w:abstractNumId w:val="5"/>
  </w:num>
  <w:num w:numId="19">
    <w:abstractNumId w:val="5"/>
    <w:lvlOverride w:ilvl="0">
      <w:startOverride w:val="1"/>
    </w:lvlOverride>
  </w:num>
  <w:num w:numId="20">
    <w:abstractNumId w:val="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67A"/>
    <w:rsid w:val="00014E5C"/>
    <w:rsid w:val="00084097"/>
    <w:rsid w:val="000A3CCA"/>
    <w:rsid w:val="000B510B"/>
    <w:rsid w:val="000C2133"/>
    <w:rsid w:val="000C5DCC"/>
    <w:rsid w:val="0010635D"/>
    <w:rsid w:val="00166D2E"/>
    <w:rsid w:val="001770A6"/>
    <w:rsid w:val="001A2216"/>
    <w:rsid w:val="001C292F"/>
    <w:rsid w:val="001E3C19"/>
    <w:rsid w:val="001E5C82"/>
    <w:rsid w:val="00247349"/>
    <w:rsid w:val="002B76D1"/>
    <w:rsid w:val="002E167A"/>
    <w:rsid w:val="002F4128"/>
    <w:rsid w:val="003038DA"/>
    <w:rsid w:val="00342DFB"/>
    <w:rsid w:val="00350C7F"/>
    <w:rsid w:val="00361B3B"/>
    <w:rsid w:val="00374468"/>
    <w:rsid w:val="003859B5"/>
    <w:rsid w:val="003905AE"/>
    <w:rsid w:val="00391E72"/>
    <w:rsid w:val="003C384B"/>
    <w:rsid w:val="0040736F"/>
    <w:rsid w:val="00433486"/>
    <w:rsid w:val="00482271"/>
    <w:rsid w:val="004910C9"/>
    <w:rsid w:val="0049684E"/>
    <w:rsid w:val="00496B17"/>
    <w:rsid w:val="004B2337"/>
    <w:rsid w:val="004D073E"/>
    <w:rsid w:val="005271B4"/>
    <w:rsid w:val="00541177"/>
    <w:rsid w:val="00563049"/>
    <w:rsid w:val="005857B8"/>
    <w:rsid w:val="005C2637"/>
    <w:rsid w:val="005D44F7"/>
    <w:rsid w:val="005F0E82"/>
    <w:rsid w:val="00606272"/>
    <w:rsid w:val="0065470B"/>
    <w:rsid w:val="00671514"/>
    <w:rsid w:val="006809D7"/>
    <w:rsid w:val="006B23A5"/>
    <w:rsid w:val="006D0A51"/>
    <w:rsid w:val="006E72A4"/>
    <w:rsid w:val="006E7332"/>
    <w:rsid w:val="007174D7"/>
    <w:rsid w:val="0074629B"/>
    <w:rsid w:val="0078409B"/>
    <w:rsid w:val="007A4734"/>
    <w:rsid w:val="007B6F22"/>
    <w:rsid w:val="007F7856"/>
    <w:rsid w:val="008628A0"/>
    <w:rsid w:val="00863134"/>
    <w:rsid w:val="0088154E"/>
    <w:rsid w:val="008A4168"/>
    <w:rsid w:val="008D67E0"/>
    <w:rsid w:val="008E25D6"/>
    <w:rsid w:val="008F1129"/>
    <w:rsid w:val="0094436F"/>
    <w:rsid w:val="00947F37"/>
    <w:rsid w:val="00953C89"/>
    <w:rsid w:val="00954094"/>
    <w:rsid w:val="00955FB2"/>
    <w:rsid w:val="00967BFC"/>
    <w:rsid w:val="009B1616"/>
    <w:rsid w:val="00A06B7E"/>
    <w:rsid w:val="00A2075A"/>
    <w:rsid w:val="00A25684"/>
    <w:rsid w:val="00A30DF8"/>
    <w:rsid w:val="00A4302F"/>
    <w:rsid w:val="00A47EEE"/>
    <w:rsid w:val="00A51241"/>
    <w:rsid w:val="00A70C11"/>
    <w:rsid w:val="00A87004"/>
    <w:rsid w:val="00A91487"/>
    <w:rsid w:val="00AA4B40"/>
    <w:rsid w:val="00AC013C"/>
    <w:rsid w:val="00AC540D"/>
    <w:rsid w:val="00AC7178"/>
    <w:rsid w:val="00AE02EF"/>
    <w:rsid w:val="00AE45DD"/>
    <w:rsid w:val="00AF39A1"/>
    <w:rsid w:val="00AF76BF"/>
    <w:rsid w:val="00B01553"/>
    <w:rsid w:val="00B132B6"/>
    <w:rsid w:val="00B55E50"/>
    <w:rsid w:val="00BA3D02"/>
    <w:rsid w:val="00BB6DA6"/>
    <w:rsid w:val="00BD7962"/>
    <w:rsid w:val="00C036D8"/>
    <w:rsid w:val="00C43138"/>
    <w:rsid w:val="00C50B50"/>
    <w:rsid w:val="00C776F5"/>
    <w:rsid w:val="00CA557D"/>
    <w:rsid w:val="00CB1D41"/>
    <w:rsid w:val="00CF3FB8"/>
    <w:rsid w:val="00D17436"/>
    <w:rsid w:val="00D23572"/>
    <w:rsid w:val="00D34C3A"/>
    <w:rsid w:val="00D40DB6"/>
    <w:rsid w:val="00D802E2"/>
    <w:rsid w:val="00D906A4"/>
    <w:rsid w:val="00DA7A4E"/>
    <w:rsid w:val="00DB2C11"/>
    <w:rsid w:val="00E00981"/>
    <w:rsid w:val="00EB5A45"/>
    <w:rsid w:val="00EF1B91"/>
    <w:rsid w:val="00F11F40"/>
    <w:rsid w:val="00F4189B"/>
    <w:rsid w:val="00F472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BE7815-8806-4CB9-86B3-DF829D035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E167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0"/>
      <w:szCs w:val="20"/>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2E167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aliases w:val="Head2A,2,H2,UNDERRUBRIK 1-2,DO NOT USE_h2,h2,h21,H2 Char,h2 Char,标题 2"/>
    <w:basedOn w:val="Heading1"/>
    <w:next w:val="Normal"/>
    <w:link w:val="Heading2Char"/>
    <w:qFormat/>
    <w:rsid w:val="002E167A"/>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2E167A"/>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link w:val="Heading4Char"/>
    <w:qFormat/>
    <w:rsid w:val="002E167A"/>
    <w:pPr>
      <w:numPr>
        <w:ilvl w:val="3"/>
      </w:numPr>
      <w:outlineLvl w:val="3"/>
    </w:pPr>
    <w:rPr>
      <w:szCs w:val="24"/>
    </w:rPr>
  </w:style>
  <w:style w:type="paragraph" w:styleId="Heading5">
    <w:name w:val="heading 5"/>
    <w:basedOn w:val="Heading4"/>
    <w:next w:val="Normal"/>
    <w:link w:val="Heading5Char"/>
    <w:qFormat/>
    <w:rsid w:val="002E167A"/>
    <w:pPr>
      <w:numPr>
        <w:ilvl w:val="4"/>
      </w:numPr>
      <w:outlineLvl w:val="4"/>
    </w:pPr>
    <w:rPr>
      <w:sz w:val="22"/>
      <w:szCs w:val="22"/>
    </w:rPr>
  </w:style>
  <w:style w:type="paragraph" w:styleId="Heading6">
    <w:name w:val="heading 6"/>
    <w:basedOn w:val="Normal"/>
    <w:next w:val="Normal"/>
    <w:link w:val="Heading6Char"/>
    <w:qFormat/>
    <w:rsid w:val="002E167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E167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E167A"/>
    <w:pPr>
      <w:numPr>
        <w:ilvl w:val="7"/>
      </w:numPr>
      <w:outlineLvl w:val="7"/>
    </w:pPr>
  </w:style>
  <w:style w:type="paragraph" w:styleId="Heading9">
    <w:name w:val="heading 9"/>
    <w:basedOn w:val="Heading8"/>
    <w:next w:val="Normal"/>
    <w:link w:val="Heading9Char"/>
    <w:qFormat/>
    <w:rsid w:val="002E16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E167A"/>
    <w:rPr>
      <w:rFonts w:ascii="Arial" w:eastAsia="Times New Roman" w:hAnsi="Arial" w:cs="Arial"/>
      <w:sz w:val="32"/>
      <w:szCs w:val="36"/>
      <w:lang w:val="en-GB" w:eastAsia="zh-CN"/>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2E167A"/>
    <w:rPr>
      <w:rFonts w:ascii="Arial" w:eastAsia="Times New Roman" w:hAnsi="Arial" w:cs="Arial"/>
      <w:sz w:val="28"/>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167A"/>
    <w:rPr>
      <w:rFonts w:ascii="Arial" w:eastAsia="Times New Roman" w:hAnsi="Arial" w:cs="Arial"/>
      <w:sz w:val="24"/>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E167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E167A"/>
    <w:rPr>
      <w:rFonts w:ascii="Arial" w:eastAsia="Times New Roman" w:hAnsi="Arial" w:cs="Arial"/>
      <w:lang w:val="en-GB" w:eastAsia="zh-CN"/>
    </w:rPr>
  </w:style>
  <w:style w:type="character" w:customStyle="1" w:styleId="Heading6Char">
    <w:name w:val="Heading 6 Char"/>
    <w:basedOn w:val="DefaultParagraphFont"/>
    <w:link w:val="Heading6"/>
    <w:rsid w:val="002E167A"/>
    <w:rPr>
      <w:rFonts w:ascii="Times New Roman" w:eastAsia="Times New Roman" w:hAnsi="Times New Roman" w:cs="Arial"/>
      <w:sz w:val="20"/>
      <w:szCs w:val="20"/>
      <w:lang w:val="en-GB" w:eastAsia="zh-CN"/>
    </w:rPr>
  </w:style>
  <w:style w:type="character" w:customStyle="1" w:styleId="Heading7Char">
    <w:name w:val="Heading 7 Char"/>
    <w:basedOn w:val="DefaultParagraphFont"/>
    <w:link w:val="Heading7"/>
    <w:rsid w:val="002E167A"/>
    <w:rPr>
      <w:rFonts w:ascii="Times New Roman" w:eastAsia="Times New Roman" w:hAnsi="Times New Roman" w:cs="Arial"/>
      <w:sz w:val="20"/>
      <w:szCs w:val="20"/>
      <w:lang w:val="en-GB" w:eastAsia="zh-CN"/>
    </w:rPr>
  </w:style>
  <w:style w:type="character" w:customStyle="1" w:styleId="Heading8Char">
    <w:name w:val="Heading 8 Char"/>
    <w:basedOn w:val="DefaultParagraphFont"/>
    <w:link w:val="Heading8"/>
    <w:rsid w:val="002E167A"/>
    <w:rPr>
      <w:rFonts w:ascii="Times New Roman" w:eastAsia="Times New Roman" w:hAnsi="Times New Roman" w:cs="Arial"/>
      <w:sz w:val="20"/>
      <w:szCs w:val="20"/>
      <w:lang w:val="en-GB" w:eastAsia="zh-CN"/>
    </w:rPr>
  </w:style>
  <w:style w:type="character" w:customStyle="1" w:styleId="Heading9Char">
    <w:name w:val="Heading 9 Char"/>
    <w:basedOn w:val="DefaultParagraphFont"/>
    <w:link w:val="Heading9"/>
    <w:rsid w:val="002E167A"/>
    <w:rPr>
      <w:rFonts w:ascii="Times New Roman" w:eastAsia="Times New Roman" w:hAnsi="Times New Roman" w:cs="Arial"/>
      <w:sz w:val="20"/>
      <w:szCs w:val="20"/>
      <w:lang w:val="en-GB" w:eastAsia="zh-CN"/>
    </w:rPr>
  </w:style>
  <w:style w:type="paragraph" w:customStyle="1" w:styleId="3GPPHeader">
    <w:name w:val="3GPP_Header"/>
    <w:basedOn w:val="Normal"/>
    <w:qFormat/>
    <w:rsid w:val="002E167A"/>
    <w:pPr>
      <w:tabs>
        <w:tab w:val="left" w:pos="1800"/>
        <w:tab w:val="right" w:pos="9360"/>
      </w:tabs>
      <w:spacing w:after="0"/>
    </w:pPr>
    <w:rPr>
      <w:rFonts w:ascii="Arial" w:hAnsi="Arial"/>
      <w:b/>
    </w:rPr>
  </w:style>
  <w:style w:type="paragraph" w:styleId="Footer">
    <w:name w:val="footer"/>
    <w:basedOn w:val="Header"/>
    <w:link w:val="FooterChar"/>
    <w:semiHidden/>
    <w:rsid w:val="002E167A"/>
    <w:pPr>
      <w:widowControl w:val="0"/>
      <w:tabs>
        <w:tab w:val="clear" w:pos="4536"/>
        <w:tab w:val="clear" w:pos="9072"/>
      </w:tabs>
      <w:jc w:val="center"/>
    </w:pPr>
    <w:rPr>
      <w:rFonts w:ascii="Arial" w:hAnsi="Arial" w:cs="Arial"/>
      <w:b/>
      <w:bCs/>
      <w:i/>
      <w:iCs/>
      <w:noProof/>
      <w:sz w:val="18"/>
      <w:szCs w:val="18"/>
      <w:lang w:val="en-US"/>
    </w:rPr>
  </w:style>
  <w:style w:type="character" w:customStyle="1" w:styleId="FooterChar">
    <w:name w:val="Footer Char"/>
    <w:basedOn w:val="DefaultParagraphFont"/>
    <w:link w:val="Footer"/>
    <w:semiHidden/>
    <w:rsid w:val="002E167A"/>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2E167A"/>
    <w:pPr>
      <w:numPr>
        <w:numId w:val="2"/>
      </w:numPr>
    </w:pPr>
  </w:style>
  <w:style w:type="character" w:styleId="PageNumber">
    <w:name w:val="page number"/>
    <w:basedOn w:val="DefaultParagraphFont"/>
    <w:semiHidden/>
    <w:rsid w:val="002E167A"/>
  </w:style>
  <w:style w:type="paragraph" w:styleId="BodyText">
    <w:name w:val="Body Text"/>
    <w:basedOn w:val="Normal"/>
    <w:link w:val="BodyTextChar"/>
    <w:qFormat/>
    <w:rsid w:val="002E167A"/>
  </w:style>
  <w:style w:type="character" w:customStyle="1" w:styleId="BodyTextChar">
    <w:name w:val="Body Text Char"/>
    <w:basedOn w:val="DefaultParagraphFont"/>
    <w:link w:val="BodyText"/>
    <w:rsid w:val="002E167A"/>
    <w:rPr>
      <w:rFonts w:ascii="Times New Roman" w:eastAsia="Times New Roman" w:hAnsi="Times New Roman" w:cs="Times New Roman"/>
      <w:sz w:val="20"/>
      <w:szCs w:val="20"/>
      <w:lang w:val="en-GB" w:eastAsia="zh-CN"/>
    </w:rPr>
  </w:style>
  <w:style w:type="paragraph" w:customStyle="1" w:styleId="Proposal">
    <w:name w:val="Proposal"/>
    <w:basedOn w:val="Normal"/>
    <w:qFormat/>
    <w:rsid w:val="002E167A"/>
    <w:pPr>
      <w:numPr>
        <w:numId w:val="3"/>
      </w:numPr>
      <w:tabs>
        <w:tab w:val="left" w:pos="1701"/>
      </w:tabs>
    </w:pPr>
    <w:rPr>
      <w:b/>
      <w:bCs/>
    </w:rPr>
  </w:style>
  <w:style w:type="paragraph" w:styleId="ListParagraph">
    <w:name w:val="List Paragraph"/>
    <w:basedOn w:val="Normal"/>
    <w:link w:val="ListParagraphChar"/>
    <w:uiPriority w:val="34"/>
    <w:qFormat/>
    <w:rsid w:val="002E167A"/>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2E167A"/>
    <w:rPr>
      <w:rFonts w:ascii="Times" w:eastAsia="SimSun" w:hAnsi="Times" w:cs="Times New Roman"/>
      <w:sz w:val="20"/>
      <w:szCs w:val="24"/>
      <w:lang w:val="en-GB" w:eastAsia="ja-JP"/>
    </w:rPr>
  </w:style>
  <w:style w:type="character" w:customStyle="1" w:styleId="ReferenceChar">
    <w:name w:val="Reference Char"/>
    <w:link w:val="Reference"/>
    <w:rsid w:val="002E167A"/>
    <w:rPr>
      <w:rFonts w:ascii="Times New Roman" w:eastAsia="Times New Roman" w:hAnsi="Times New Roman" w:cs="Times New Roman"/>
      <w:sz w:val="20"/>
      <w:szCs w:val="20"/>
      <w:lang w:val="en-GB" w:eastAsia="zh-CN"/>
    </w:rPr>
  </w:style>
  <w:style w:type="table" w:styleId="TableGrid">
    <w:name w:val="Table Grid"/>
    <w:basedOn w:val="TableNormal"/>
    <w:uiPriority w:val="59"/>
    <w:rsid w:val="002E16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167A"/>
    <w:pPr>
      <w:tabs>
        <w:tab w:val="center" w:pos="4536"/>
        <w:tab w:val="right" w:pos="9072"/>
      </w:tabs>
      <w:spacing w:after="0"/>
    </w:pPr>
  </w:style>
  <w:style w:type="character" w:customStyle="1" w:styleId="HeaderChar">
    <w:name w:val="Header Char"/>
    <w:basedOn w:val="DefaultParagraphFont"/>
    <w:link w:val="Header"/>
    <w:uiPriority w:val="99"/>
    <w:rsid w:val="002E167A"/>
    <w:rPr>
      <w:rFonts w:ascii="Times New Roman" w:eastAsia="Times New Roman" w:hAnsi="Times New Roman" w:cs="Times New Roman"/>
      <w:sz w:val="20"/>
      <w:szCs w:val="20"/>
      <w:lang w:val="en-GB" w:eastAsia="zh-CN"/>
    </w:rPr>
  </w:style>
  <w:style w:type="paragraph" w:styleId="Caption">
    <w:name w:val="caption"/>
    <w:basedOn w:val="Normal"/>
    <w:next w:val="Normal"/>
    <w:semiHidden/>
    <w:unhideWhenUsed/>
    <w:qFormat/>
    <w:rsid w:val="006D0A51"/>
    <w:pPr>
      <w:spacing w:after="240"/>
      <w:jc w:val="center"/>
      <w:textAlignment w:val="auto"/>
    </w:pPr>
    <w:rPr>
      <w:b/>
      <w:bCs/>
    </w:rPr>
  </w:style>
  <w:style w:type="character" w:styleId="PlaceholderText">
    <w:name w:val="Placeholder Text"/>
    <w:basedOn w:val="DefaultParagraphFont"/>
    <w:uiPriority w:val="99"/>
    <w:semiHidden/>
    <w:rsid w:val="002F4128"/>
    <w:rPr>
      <w:color w:val="808080"/>
    </w:rPr>
  </w:style>
  <w:style w:type="character" w:styleId="Hyperlink">
    <w:name w:val="Hyperlink"/>
    <w:uiPriority w:val="99"/>
    <w:rsid w:val="008E25D6"/>
    <w:rPr>
      <w:color w:val="0000F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216317">
      <w:bodyDiv w:val="1"/>
      <w:marLeft w:val="0"/>
      <w:marRight w:val="0"/>
      <w:marTop w:val="0"/>
      <w:marBottom w:val="0"/>
      <w:divBdr>
        <w:top w:val="none" w:sz="0" w:space="0" w:color="auto"/>
        <w:left w:val="none" w:sz="0" w:space="0" w:color="auto"/>
        <w:bottom w:val="none" w:sz="0" w:space="0" w:color="auto"/>
        <w:right w:val="none" w:sz="0" w:space="0" w:color="auto"/>
      </w:divBdr>
    </w:div>
    <w:div w:id="115567612">
      <w:bodyDiv w:val="1"/>
      <w:marLeft w:val="0"/>
      <w:marRight w:val="0"/>
      <w:marTop w:val="0"/>
      <w:marBottom w:val="0"/>
      <w:divBdr>
        <w:top w:val="none" w:sz="0" w:space="0" w:color="auto"/>
        <w:left w:val="none" w:sz="0" w:space="0" w:color="auto"/>
        <w:bottom w:val="none" w:sz="0" w:space="0" w:color="auto"/>
        <w:right w:val="none" w:sz="0" w:space="0" w:color="auto"/>
      </w:divBdr>
    </w:div>
    <w:div w:id="460808388">
      <w:bodyDiv w:val="1"/>
      <w:marLeft w:val="0"/>
      <w:marRight w:val="0"/>
      <w:marTop w:val="0"/>
      <w:marBottom w:val="0"/>
      <w:divBdr>
        <w:top w:val="none" w:sz="0" w:space="0" w:color="auto"/>
        <w:left w:val="none" w:sz="0" w:space="0" w:color="auto"/>
        <w:bottom w:val="none" w:sz="0" w:space="0" w:color="auto"/>
        <w:right w:val="none" w:sz="0" w:space="0" w:color="auto"/>
      </w:divBdr>
    </w:div>
    <w:div w:id="623003804">
      <w:bodyDiv w:val="1"/>
      <w:marLeft w:val="0"/>
      <w:marRight w:val="0"/>
      <w:marTop w:val="0"/>
      <w:marBottom w:val="0"/>
      <w:divBdr>
        <w:top w:val="none" w:sz="0" w:space="0" w:color="auto"/>
        <w:left w:val="none" w:sz="0" w:space="0" w:color="auto"/>
        <w:bottom w:val="none" w:sz="0" w:space="0" w:color="auto"/>
        <w:right w:val="none" w:sz="0" w:space="0" w:color="auto"/>
      </w:divBdr>
    </w:div>
    <w:div w:id="719523561">
      <w:bodyDiv w:val="1"/>
      <w:marLeft w:val="0"/>
      <w:marRight w:val="0"/>
      <w:marTop w:val="0"/>
      <w:marBottom w:val="0"/>
      <w:divBdr>
        <w:top w:val="none" w:sz="0" w:space="0" w:color="auto"/>
        <w:left w:val="none" w:sz="0" w:space="0" w:color="auto"/>
        <w:bottom w:val="none" w:sz="0" w:space="0" w:color="auto"/>
        <w:right w:val="none" w:sz="0" w:space="0" w:color="auto"/>
      </w:divBdr>
    </w:div>
    <w:div w:id="744912214">
      <w:bodyDiv w:val="1"/>
      <w:marLeft w:val="0"/>
      <w:marRight w:val="0"/>
      <w:marTop w:val="0"/>
      <w:marBottom w:val="0"/>
      <w:divBdr>
        <w:top w:val="none" w:sz="0" w:space="0" w:color="auto"/>
        <w:left w:val="none" w:sz="0" w:space="0" w:color="auto"/>
        <w:bottom w:val="none" w:sz="0" w:space="0" w:color="auto"/>
        <w:right w:val="none" w:sz="0" w:space="0" w:color="auto"/>
      </w:divBdr>
    </w:div>
    <w:div w:id="1269629694">
      <w:bodyDiv w:val="1"/>
      <w:marLeft w:val="0"/>
      <w:marRight w:val="0"/>
      <w:marTop w:val="0"/>
      <w:marBottom w:val="0"/>
      <w:divBdr>
        <w:top w:val="none" w:sz="0" w:space="0" w:color="auto"/>
        <w:left w:val="none" w:sz="0" w:space="0" w:color="auto"/>
        <w:bottom w:val="none" w:sz="0" w:space="0" w:color="auto"/>
        <w:right w:val="none" w:sz="0" w:space="0" w:color="auto"/>
      </w:divBdr>
    </w:div>
    <w:div w:id="1533374192">
      <w:bodyDiv w:val="1"/>
      <w:marLeft w:val="0"/>
      <w:marRight w:val="0"/>
      <w:marTop w:val="0"/>
      <w:marBottom w:val="0"/>
      <w:divBdr>
        <w:top w:val="none" w:sz="0" w:space="0" w:color="auto"/>
        <w:left w:val="none" w:sz="0" w:space="0" w:color="auto"/>
        <w:bottom w:val="none" w:sz="0" w:space="0" w:color="auto"/>
        <w:right w:val="none" w:sz="0" w:space="0" w:color="auto"/>
      </w:divBdr>
    </w:div>
    <w:div w:id="1807160466">
      <w:bodyDiv w:val="1"/>
      <w:marLeft w:val="0"/>
      <w:marRight w:val="0"/>
      <w:marTop w:val="0"/>
      <w:marBottom w:val="0"/>
      <w:divBdr>
        <w:top w:val="none" w:sz="0" w:space="0" w:color="auto"/>
        <w:left w:val="none" w:sz="0" w:space="0" w:color="auto"/>
        <w:bottom w:val="none" w:sz="0" w:space="0" w:color="auto"/>
        <w:right w:val="none" w:sz="0" w:space="0" w:color="auto"/>
      </w:divBdr>
    </w:div>
    <w:div w:id="184878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users.ece.cmu.edu/~koopman/crc/hw_data.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26508-698B-47CF-80D3-9477C4F12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1142</Words>
  <Characters>6514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Leefke Grosjean</dc:creator>
  <cp:keywords/>
  <dc:description/>
  <cp:lastModifiedBy>Yufei Blankenship</cp:lastModifiedBy>
  <cp:revision>3</cp:revision>
  <dcterms:created xsi:type="dcterms:W3CDTF">2017-05-11T04:33:00Z</dcterms:created>
  <dcterms:modified xsi:type="dcterms:W3CDTF">2017-05-14T13:30:00Z</dcterms:modified>
</cp:coreProperties>
</file>